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AFA33" w14:textId="1670FADF" w:rsidR="00395011" w:rsidRDefault="00395011" w:rsidP="00582D44">
      <w:pPr>
        <w:ind w:left="2438"/>
        <w:rPr>
          <w:rFonts w:ascii="Times New Roman"/>
          <w:sz w:val="20"/>
        </w:rPr>
      </w:pPr>
      <w:r>
        <w:rPr>
          <w:rFonts w:ascii="Times New Roman"/>
          <w:noProof/>
          <w:sz w:val="20"/>
        </w:rPr>
        <w:drawing>
          <wp:anchor distT="0" distB="0" distL="114300" distR="114300" simplePos="0" relativeHeight="251659264" behindDoc="1" locked="0" layoutInCell="1" allowOverlap="1" wp14:anchorId="70A5DD30" wp14:editId="07550D57">
            <wp:simplePos x="0" y="0"/>
            <wp:positionH relativeFrom="margin">
              <wp:align>center</wp:align>
            </wp:positionH>
            <wp:positionV relativeFrom="paragraph">
              <wp:posOffset>-683895</wp:posOffset>
            </wp:positionV>
            <wp:extent cx="2849880" cy="1181100"/>
            <wp:effectExtent l="0" t="0" r="7620" b="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49880" cy="1181100"/>
                    </a:xfrm>
                    <a:prstGeom prst="rect">
                      <a:avLst/>
                    </a:prstGeom>
                    <a:noFill/>
                    <a:ln>
                      <a:noFill/>
                    </a:ln>
                  </pic:spPr>
                </pic:pic>
              </a:graphicData>
            </a:graphic>
          </wp:anchor>
        </w:drawing>
      </w:r>
    </w:p>
    <w:p w14:paraId="0477A419" w14:textId="77777777" w:rsidR="00395011" w:rsidRDefault="00395011" w:rsidP="00582D44">
      <w:pPr>
        <w:ind w:left="2438"/>
        <w:rPr>
          <w:rFonts w:ascii="Times New Roman"/>
          <w:sz w:val="20"/>
        </w:rPr>
      </w:pPr>
    </w:p>
    <w:p w14:paraId="26237F4A" w14:textId="2E6C93DB" w:rsidR="00582D44" w:rsidRDefault="00582D44" w:rsidP="00582D44">
      <w:pPr>
        <w:ind w:left="2438"/>
        <w:rPr>
          <w:rFonts w:ascii="Times New Roman"/>
          <w:sz w:val="20"/>
        </w:rPr>
      </w:pPr>
    </w:p>
    <w:p w14:paraId="3AD6EF4F" w14:textId="25CBF7E6" w:rsidR="00582D44" w:rsidRDefault="00582D44" w:rsidP="00582D44">
      <w:pPr>
        <w:pStyle w:val="BodyText"/>
        <w:spacing w:before="12"/>
        <w:rPr>
          <w:rFonts w:ascii="Times New Roman"/>
          <w:sz w:val="20"/>
        </w:rPr>
      </w:pPr>
      <w:r>
        <w:rPr>
          <w:noProof/>
        </w:rPr>
        <mc:AlternateContent>
          <mc:Choice Requires="wps">
            <w:drawing>
              <wp:anchor distT="0" distB="0" distL="0" distR="0" simplePos="0" relativeHeight="251658240" behindDoc="1" locked="0" layoutInCell="1" allowOverlap="1" wp14:anchorId="7D48E5D3" wp14:editId="2FF003BB">
                <wp:simplePos x="0" y="0"/>
                <wp:positionH relativeFrom="page">
                  <wp:posOffset>881380</wp:posOffset>
                </wp:positionH>
                <wp:positionV relativeFrom="paragraph">
                  <wp:posOffset>169545</wp:posOffset>
                </wp:positionV>
                <wp:extent cx="5798185" cy="9525"/>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185" cy="9525"/>
                        </a:xfrm>
                        <a:custGeom>
                          <a:avLst/>
                          <a:gdLst/>
                          <a:ahLst/>
                          <a:cxnLst/>
                          <a:rect l="l" t="t" r="r" b="b"/>
                          <a:pathLst>
                            <a:path w="5798185" h="9525">
                              <a:moveTo>
                                <a:pt x="5798058" y="0"/>
                              </a:moveTo>
                              <a:lnTo>
                                <a:pt x="0" y="0"/>
                              </a:lnTo>
                              <a:lnTo>
                                <a:pt x="0" y="9144"/>
                              </a:lnTo>
                              <a:lnTo>
                                <a:pt x="5798058" y="9144"/>
                              </a:lnTo>
                              <a:lnTo>
                                <a:pt x="5798058" y="0"/>
                              </a:lnTo>
                              <a:close/>
                            </a:path>
                          </a:pathLst>
                        </a:custGeom>
                        <a:solidFill>
                          <a:srgbClr val="000000"/>
                        </a:solidFill>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B1287B" id="Freeform: Shape 2" o:spid="_x0000_s1026" style="position:absolute;margin-left:69.4pt;margin-top:13.35pt;width:456.55pt;height:.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981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0exTgIAABEFAAAOAAAAZHJzL2Uyb0RvYy54bWysVMFu2zAMvQ/YPwi6L06CZmuMOMXQIsOA&#10;oi3QFDsrshwbk0WNUuJkXz9KtlKvO22YDzJlPlN8j6RWN6dWs6NC14Ap+Gwy5UwZCWVj9gV/2W4+&#10;XHPmvDCl0GBUwc/K8Zv1+3erzuZqDjXoUiGjIMblnS147b3Ns8zJWrXCTcAqQ84KsBWetrjPShQd&#10;RW91Np9OP2YdYGkRpHKOvt71Tr6O8atKSf9YVU55pgtOufm4Ylx3Yc3WK5HvUdi6kUMa4h+yaEVj&#10;6NBLqDvhBTtg80eotpEIDio/kdBmUFWNVJEDsZlN37B5roVVkQuJ4+xFJvf/wsqH4xOypiz4nDMj&#10;WirRBpUKgucsns/mQaTOupywz/YJA01n70F+d+TIfvOEjRswpwrbgCWS7BQVP18UVyfPJH1cfFpe&#10;z64XnEnyLRfzRTgrE3n6Vx6c/6IgxhHHe+f7epXJEnWy5MkkE6nqod461ttzRvVGzqjeu77eVvjw&#10;X0gumKwbJVIPeQRnC0e1hQjzgULIdrqgjk5EKNNXjDZjLDXbCJV86W1jvB6znF1dDbSTO7172PjY&#10;vwLH9qYcUzipwale4MA7Kn3RgnBjtR3optw0Wgf6Dve7W43sKMIYxWfIeASLndAXP7TBDsoztRbd&#10;Df6RlkoDySx1YzmrAX++/dbRDBbc/TgIVJzpr4aaPAxsMjAZu2Sg17cQxzpWCJ3fnr4JtMySWXBP&#10;PfYAaYREntqHeAZAjw1/Gvh88FA1obcihz7zYUNzF3Ua7ogw2ON9RL3eZOtfAAAA//8DAFBLAwQU&#10;AAYACAAAACEAAmn0qt4AAAAKAQAADwAAAGRycy9kb3ducmV2LnhtbEyPwU7DMBBE70j8g7VI3KjT&#10;oJQ0jVNVlYBeeqCgnt14SQL2OordNPw92xMcZ2c087ZcT86KEYfQeVIwnyUgkGpvOmoUfLw/P+Qg&#10;QtRktPWECn4wwLq6vSl1YfyF3nA8xEZwCYVCK2hj7AspQ92i02HmeyT2Pv3gdGQ5NNIM+sLlzso0&#10;SRbS6Y54odU9blusvw9np8D6zfhKuzp+ZceXbHecYr7d75W6v5s2KxARp/gXhis+o0PFTCd/JhOE&#10;Zf2YM3pUkC6eQFwDSTZfgjjxJU9BVqX8/0L1CwAA//8DAFBLAQItABQABgAIAAAAIQC2gziS/gAA&#10;AOEBAAATAAAAAAAAAAAAAAAAAAAAAABbQ29udGVudF9UeXBlc10ueG1sUEsBAi0AFAAGAAgAAAAh&#10;ADj9If/WAAAAlAEAAAsAAAAAAAAAAAAAAAAALwEAAF9yZWxzLy5yZWxzUEsBAi0AFAAGAAgAAAAh&#10;AIqDR7FOAgAAEQUAAA4AAAAAAAAAAAAAAAAALgIAAGRycy9lMm9Eb2MueG1sUEsBAi0AFAAGAAgA&#10;AAAhAAJp9KreAAAACgEAAA8AAAAAAAAAAAAAAAAAqAQAAGRycy9kb3ducmV2LnhtbFBLBQYAAAAA&#10;BAAEAPMAAACzBQAAAAA=&#10;" path="m5798058,l,,,9144r5798058,l5798058,xe" fillcolor="black" stroked="f">
                <v:path arrowok="t"/>
                <w10:wrap type="topAndBottom" anchorx="page"/>
              </v:shape>
            </w:pict>
          </mc:Fallback>
        </mc:AlternateContent>
      </w:r>
    </w:p>
    <w:p w14:paraId="2E2A83E2" w14:textId="64ED6B4A" w:rsidR="0071453B" w:rsidRDefault="00395011" w:rsidP="00395011">
      <w:pPr>
        <w:spacing w:after="120" w:line="360" w:lineRule="auto"/>
      </w:pPr>
      <w:r>
        <w:rPr>
          <w:b/>
          <w:bCs/>
          <w:sz w:val="28"/>
          <w:szCs w:val="28"/>
        </w:rPr>
        <w:br/>
      </w:r>
      <w:r w:rsidR="004A5C8C">
        <w:rPr>
          <w:b/>
          <w:bCs/>
          <w:sz w:val="28"/>
          <w:szCs w:val="28"/>
        </w:rPr>
        <w:t>Comparing Grammar Gains of Absolute Beginners vs. Learners with Non-Grammar Prior Exposure in a Short-Term Intensive EFL Program</w:t>
      </w:r>
    </w:p>
    <w:p w14:paraId="301252FD" w14:textId="77777777" w:rsidR="0071453B" w:rsidRDefault="004A5C8C" w:rsidP="00395011">
      <w:proofErr w:type="spellStart"/>
      <w:r>
        <w:rPr>
          <w:i/>
          <w:iCs/>
          <w:sz w:val="20"/>
          <w:szCs w:val="20"/>
        </w:rPr>
        <w:t>Mujiburrahman</w:t>
      </w:r>
      <w:proofErr w:type="spellEnd"/>
    </w:p>
    <w:p w14:paraId="4A067E3D" w14:textId="77777777" w:rsidR="0071453B" w:rsidRDefault="004A5C8C" w:rsidP="00395011">
      <w:r>
        <w:rPr>
          <w:i/>
          <w:iCs/>
          <w:sz w:val="20"/>
          <w:szCs w:val="20"/>
        </w:rPr>
        <w:t xml:space="preserve">1Pendidikan Bahasa </w:t>
      </w:r>
      <w:proofErr w:type="spellStart"/>
      <w:r>
        <w:rPr>
          <w:i/>
          <w:iCs/>
          <w:sz w:val="20"/>
          <w:szCs w:val="20"/>
        </w:rPr>
        <w:t>Inggris</w:t>
      </w:r>
      <w:proofErr w:type="spellEnd"/>
      <w:r>
        <w:rPr>
          <w:i/>
          <w:iCs/>
          <w:sz w:val="20"/>
          <w:szCs w:val="20"/>
        </w:rPr>
        <w:t>, Universitas Islam Kadiri, Indonesia</w:t>
      </w:r>
    </w:p>
    <w:p w14:paraId="7625CB30" w14:textId="56DDA167" w:rsidR="0071453B" w:rsidRDefault="004A5C8C" w:rsidP="00395011">
      <w:pPr>
        <w:spacing w:after="240"/>
      </w:pPr>
      <w:r>
        <w:rPr>
          <w:i/>
          <w:iCs/>
          <w:sz w:val="20"/>
          <w:szCs w:val="20"/>
        </w:rPr>
        <w:t>Corresponding author's e-mail: 25020230093S</w:t>
      </w:r>
      <w:r w:rsidR="00C73DD3">
        <w:rPr>
          <w:i/>
          <w:iCs/>
          <w:sz w:val="20"/>
          <w:szCs w:val="20"/>
        </w:rPr>
        <w:t>:</w:t>
      </w:r>
      <w:r w:rsidR="00582D44">
        <w:rPr>
          <w:i/>
          <w:iCs/>
          <w:sz w:val="20"/>
          <w:szCs w:val="20"/>
        </w:rPr>
        <w:t xml:space="preserve"> </w:t>
      </w:r>
      <w:r w:rsidR="00C73DD3">
        <w:rPr>
          <w:i/>
          <w:iCs/>
          <w:sz w:val="20"/>
          <w:szCs w:val="20"/>
        </w:rPr>
        <w:t>alpinhafiz68@gmail.com</w:t>
      </w:r>
    </w:p>
    <w:tbl>
      <w:tblPr>
        <w:tblW w:w="9072" w:type="dxa"/>
        <w:tblBorders>
          <w:top w:val="single" w:sz="8" w:space="0" w:color="000000"/>
          <w:left w:val="single" w:sz="8" w:space="0" w:color="000000"/>
          <w:bottom w:val="single" w:sz="8" w:space="0" w:color="000000"/>
          <w:right w:val="single" w:sz="8" w:space="0" w:color="000000"/>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72"/>
      </w:tblGrid>
      <w:tr w:rsidR="0071453B" w14:paraId="11972688" w14:textId="77777777">
        <w:tc>
          <w:tcPr>
            <w:tcW w:w="9072" w:type="dxa"/>
            <w:tcBorders>
              <w:top w:val="single" w:sz="8" w:space="0" w:color="000000"/>
              <w:left w:val="none" w:sz="0" w:space="0" w:color="FFFFFF"/>
              <w:bottom w:val="single" w:sz="8" w:space="0" w:color="000000"/>
              <w:right w:val="none" w:sz="0" w:space="0" w:color="FFFFFF"/>
            </w:tcBorders>
            <w:shd w:val="clear" w:color="auto" w:fill="FFFFFF"/>
            <w:tcMar>
              <w:top w:w="80" w:type="dxa"/>
              <w:left w:w="200" w:type="dxa"/>
              <w:bottom w:w="80" w:type="dxa"/>
              <w:right w:w="200" w:type="dxa"/>
            </w:tcMar>
          </w:tcPr>
          <w:p w14:paraId="22F0F942" w14:textId="77777777" w:rsidR="0071453B" w:rsidRDefault="004A5C8C">
            <w:pPr>
              <w:spacing w:before="40" w:after="40"/>
              <w:jc w:val="center"/>
            </w:pPr>
            <w:r>
              <w:rPr>
                <w:b/>
                <w:bCs/>
              </w:rPr>
              <w:t>ABSTRACT</w:t>
            </w:r>
          </w:p>
        </w:tc>
      </w:tr>
      <w:tr w:rsidR="0071453B" w14:paraId="5F342080" w14:textId="77777777">
        <w:tc>
          <w:tcPr>
            <w:tcW w:w="9072" w:type="dxa"/>
            <w:tcBorders>
              <w:top w:val="none" w:sz="0" w:space="0" w:color="FFFFFF"/>
              <w:left w:val="none" w:sz="0" w:space="0" w:color="FFFFFF"/>
              <w:bottom w:val="single" w:sz="8" w:space="0" w:color="000000"/>
              <w:right w:val="none" w:sz="0" w:space="0" w:color="FFFFFF"/>
            </w:tcBorders>
            <w:shd w:val="clear" w:color="auto" w:fill="FFFFFF"/>
            <w:tcMar>
              <w:top w:w="80" w:type="dxa"/>
              <w:left w:w="560" w:type="dxa"/>
              <w:bottom w:w="80" w:type="dxa"/>
              <w:right w:w="560" w:type="dxa"/>
            </w:tcMar>
          </w:tcPr>
          <w:p w14:paraId="6EADE2CE" w14:textId="77777777" w:rsidR="0071453B" w:rsidRDefault="004A5C8C">
            <w:pPr>
              <w:spacing w:after="120"/>
              <w:jc w:val="both"/>
            </w:pPr>
            <w:r>
              <w:rPr>
                <w:sz w:val="22"/>
                <w:szCs w:val="22"/>
              </w:rPr>
              <w:t xml:space="preserve">Grammar acquisition remains a central concern in EFL contexts, particularly within short-term intensive programs where learners arrive with highly varied linguistic backgrounds. In Kampung </w:t>
            </w:r>
            <w:proofErr w:type="spellStart"/>
            <w:r>
              <w:rPr>
                <w:sz w:val="22"/>
                <w:szCs w:val="22"/>
              </w:rPr>
              <w:t>Inggris</w:t>
            </w:r>
            <w:proofErr w:type="spellEnd"/>
            <w:r>
              <w:rPr>
                <w:sz w:val="22"/>
                <w:szCs w:val="22"/>
              </w:rPr>
              <w:t xml:space="preserve"> Pare, a well-known intensive English learning hub in Indonesia, classrooms frequently consist of a mix of absolute beginners and learners who have had informal prior exposure to English through media consumption such as songs, films, and online gaming, yet without any formal grammar instruction. Despite the prevalence of this phenomenon, no quantitative comparative study has examined whether such non-grammar prior exposure yields measurable advantages in grammar gains over the course of an intensive program. This study aimed to compare grammar improvement between absolute beginners and learners with non-grammar prior exposure following a short-term intensive EFL program at </w:t>
            </w:r>
            <w:proofErr w:type="spellStart"/>
            <w:r>
              <w:rPr>
                <w:sz w:val="22"/>
                <w:szCs w:val="22"/>
              </w:rPr>
              <w:t>Kresna</w:t>
            </w:r>
            <w:proofErr w:type="spellEnd"/>
            <w:r>
              <w:rPr>
                <w:sz w:val="22"/>
                <w:szCs w:val="22"/>
              </w:rPr>
              <w:t xml:space="preserve"> Course, Kampung </w:t>
            </w:r>
            <w:proofErr w:type="spellStart"/>
            <w:r>
              <w:rPr>
                <w:sz w:val="22"/>
                <w:szCs w:val="22"/>
              </w:rPr>
              <w:t>Inggris</w:t>
            </w:r>
            <w:proofErr w:type="spellEnd"/>
            <w:r>
              <w:rPr>
                <w:sz w:val="22"/>
                <w:szCs w:val="22"/>
              </w:rPr>
              <w:t xml:space="preserve"> Pare. A quantitative comparative design was employed using a pre-test and post-test grammar instrument administered to two purposively selected groups of participants enrolled in the two-month package program. Grammar improvement scores were calculated as the difference between pre-test and post-test results and </w:t>
            </w:r>
            <w:proofErr w:type="spellStart"/>
            <w:r>
              <w:rPr>
                <w:sz w:val="22"/>
                <w:szCs w:val="22"/>
              </w:rPr>
              <w:t>analyzed</w:t>
            </w:r>
            <w:proofErr w:type="spellEnd"/>
            <w:r>
              <w:rPr>
                <w:sz w:val="22"/>
                <w:szCs w:val="22"/>
              </w:rPr>
              <w:t xml:space="preserve"> using an independent samples t-test. The findings revealed a statistically significant difference in grammar gains between the two groups, with learners who had non-grammar prior exposure demonstrating higher improvement scores compared to absolute beginners. These results suggest that even informal, non-systematic English exposure may facilitate the formation of implicit linguistic schemas that support explicit grammar learning. The study contributes empirical evidence to the role of prior exposure in EFL grammar acquisition and offers practical implications for learner placement and instructional strategies in intensive course settings.</w:t>
            </w:r>
          </w:p>
          <w:p w14:paraId="1FE2E9E8" w14:textId="77777777" w:rsidR="0071453B" w:rsidRDefault="004A5C8C">
            <w:pPr>
              <w:spacing w:after="80"/>
              <w:jc w:val="both"/>
            </w:pPr>
            <w:r>
              <w:rPr>
                <w:b/>
                <w:bCs/>
                <w:sz w:val="22"/>
                <w:szCs w:val="22"/>
              </w:rPr>
              <w:t xml:space="preserve">Keywords: </w:t>
            </w:r>
            <w:r>
              <w:rPr>
                <w:sz w:val="22"/>
                <w:szCs w:val="22"/>
              </w:rPr>
              <w:t>grammar gains, absolute beginners, prior exposure, intensive EFL program, comparative study</w:t>
            </w:r>
          </w:p>
        </w:tc>
      </w:tr>
    </w:tbl>
    <w:p w14:paraId="6DCFC9AE" w14:textId="77777777" w:rsidR="0071453B" w:rsidRDefault="0071453B"/>
    <w:p w14:paraId="577909BA" w14:textId="77777777" w:rsidR="0071453B" w:rsidRDefault="004A5C8C">
      <w:pPr>
        <w:spacing w:before="240" w:after="120" w:line="360" w:lineRule="auto"/>
      </w:pPr>
      <w:r>
        <w:rPr>
          <w:b/>
          <w:bCs/>
        </w:rPr>
        <w:t>INTRODUCTION</w:t>
      </w:r>
    </w:p>
    <w:p w14:paraId="5977059A" w14:textId="77777777" w:rsidR="0071453B" w:rsidRDefault="004A5C8C">
      <w:pPr>
        <w:spacing w:line="360" w:lineRule="auto"/>
        <w:jc w:val="both"/>
      </w:pPr>
      <w:r>
        <w:t xml:space="preserve">English grammar remains one of the fundamental pillars in measuring the success of EFL learners' language competence. In an intensive course environment such as </w:t>
      </w:r>
      <w:proofErr w:type="spellStart"/>
      <w:r>
        <w:t>Kresna</w:t>
      </w:r>
      <w:proofErr w:type="spellEnd"/>
      <w:r>
        <w:t xml:space="preserve"> Course at Kampung </w:t>
      </w:r>
      <w:proofErr w:type="spellStart"/>
      <w:r>
        <w:t>Inggris</w:t>
      </w:r>
      <w:proofErr w:type="spellEnd"/>
      <w:r>
        <w:t xml:space="preserve"> Pare, one of the most prominent intensive English </w:t>
      </w:r>
      <w:r>
        <w:lastRenderedPageBreak/>
        <w:t xml:space="preserve">learning </w:t>
      </w:r>
      <w:proofErr w:type="spellStart"/>
      <w:r>
        <w:t>centers</w:t>
      </w:r>
      <w:proofErr w:type="spellEnd"/>
      <w:r>
        <w:t xml:space="preserve"> in Indonesia, the backgrounds of participants are remarkably diverse. An interesting and frequently observed phenomenon in the two-month package program is the coexistence of absolute beginners who have had no prior contact with English whatsoever, alongside learners who have already been exposed to the language through informal channels such as watching Western films and series, listening to English-language music, playing online video games, or engaging in casual social media interactions in English. Crucially, however, this prior exposure is non-grammar focused, meaning these learners have developed some degree of familiarity with the sound and general feel of English without ever having formally studied its grammatical rules.</w:t>
      </w:r>
    </w:p>
    <w:p w14:paraId="461EC767" w14:textId="77777777" w:rsidR="0071453B" w:rsidRDefault="0071453B"/>
    <w:p w14:paraId="25D487D2" w14:textId="77777777" w:rsidR="0071453B" w:rsidRDefault="004A5C8C">
      <w:pPr>
        <w:spacing w:line="360" w:lineRule="auto"/>
        <w:jc w:val="both"/>
      </w:pPr>
      <w:r>
        <w:t xml:space="preserve">The question that arises from this context is pedagogically significant: does informal, non-grammar prior exposure to English provide any measurable advantage in grammar acquisition during a short-term intensive EFL program? Or do absolute beginners, who begin the program without any linguistic preconceptions, demonstrate equal or possibly greater grammar improvement due to the absence of fossilized language habits? Previous studies conducted at </w:t>
      </w:r>
      <w:proofErr w:type="spellStart"/>
      <w:r>
        <w:t>Kresna</w:t>
      </w:r>
      <w:proofErr w:type="spellEnd"/>
      <w:r>
        <w:t xml:space="preserve"> Course have predominantly employed qualitative descriptive designs, investigating teaching methods, instructional techniques, and error analysis without utilizing quantitative comparisons between different learner groups. No study at </w:t>
      </w:r>
      <w:proofErr w:type="spellStart"/>
      <w:r>
        <w:t>Kresna</w:t>
      </w:r>
      <w:proofErr w:type="spellEnd"/>
      <w:r>
        <w:t xml:space="preserve"> Course has yet applied a pre-test and post-test comparative design to systematically measure the difference in grammar gains between these two distinct learner profiles. This gap represents both a methodological and a topical void in the existing literature on intensive EFL programs in the Indonesian context.</w:t>
      </w:r>
    </w:p>
    <w:p w14:paraId="656B4F1D" w14:textId="77777777" w:rsidR="0071453B" w:rsidRDefault="0071453B"/>
    <w:p w14:paraId="60C704D8" w14:textId="77777777" w:rsidR="0071453B" w:rsidRDefault="004A5C8C">
      <w:pPr>
        <w:spacing w:line="360" w:lineRule="auto"/>
        <w:jc w:val="both"/>
      </w:pPr>
      <w:r>
        <w:t xml:space="preserve">From a theoretical standpoint, Cognitive Load Theory posits that learners with existing knowledge schemas are able to integrate new information more efficiently because their prior knowledge reduces the cognitive demands of processing unfamiliar input (Hornay, 2021). Applied to grammar learning, learners with prior English exposure may have already formed partial mental representations of English sentence patterns through repeated exposure, even without formal instruction. This implicit knowledge base may facilitate the acquisition of explicit grammatical rules during the intensive program. Supporting this perspective, the Exposure-Acquisition Hypothesis holds that language exposure, regardless of its formal or informal nature, plays a substantive role </w:t>
      </w:r>
      <w:r>
        <w:lastRenderedPageBreak/>
        <w:t>in second language acquisition (</w:t>
      </w:r>
      <w:proofErr w:type="spellStart"/>
      <w:r>
        <w:t>Jahrani</w:t>
      </w:r>
      <w:proofErr w:type="spellEnd"/>
      <w:r>
        <w:t xml:space="preserve"> &amp; </w:t>
      </w:r>
      <w:proofErr w:type="spellStart"/>
      <w:r>
        <w:t>Listia</w:t>
      </w:r>
      <w:proofErr w:type="spellEnd"/>
      <w:r>
        <w:t>, 2023). While there remains no definitive consensus regarding the magnitude of this effect when exposure is not paired with formal instruction, the hypothesis provides a theoretical rationale for expecting observable differences in grammar gains between the two groups under investigation.</w:t>
      </w:r>
    </w:p>
    <w:p w14:paraId="4E11AF3B" w14:textId="77777777" w:rsidR="0071453B" w:rsidRDefault="0071453B"/>
    <w:p w14:paraId="177C3F55" w14:textId="77777777" w:rsidR="0071453B" w:rsidRDefault="004A5C8C">
      <w:pPr>
        <w:spacing w:line="360" w:lineRule="auto"/>
        <w:jc w:val="both"/>
      </w:pPr>
      <w:r>
        <w:t xml:space="preserve">In the broader Indonesian EFL context, extramural English engagement has received growing scholarly attention. </w:t>
      </w:r>
      <w:proofErr w:type="spellStart"/>
      <w:r>
        <w:t>Darwanto</w:t>
      </w:r>
      <w:proofErr w:type="spellEnd"/>
      <w:r>
        <w:t xml:space="preserve"> and </w:t>
      </w:r>
      <w:proofErr w:type="spellStart"/>
      <w:r>
        <w:t>Sotyarini</w:t>
      </w:r>
      <w:proofErr w:type="spellEnd"/>
      <w:r>
        <w:t xml:space="preserve"> (2022) found that Indonesian university students predominantly engage in receptive extramural English activities, such as consuming English media, more than productive ones. </w:t>
      </w:r>
      <w:proofErr w:type="spellStart"/>
      <w:r>
        <w:t>Hentasmaka</w:t>
      </w:r>
      <w:proofErr w:type="spellEnd"/>
      <w:r>
        <w:t xml:space="preserve"> et al. (2022) demonstrated that smartphone-based extramural English activities contribute meaningfully to vocabulary enrichment. However, neither study examined the direct impact of extramural exposure on grammar acquisition outcomes in an intensive course setting, nor did they employ a comparative design to contrast learner groups based on prior exposure status. Harmer (2015) offers a useful conceptual distinction between absolute beginners, who possess no knowledge of the target language at all, and false beginners, who have some prior exposure but lack functional proficiency. The present study adopts this distinction as its primary grouping criterion, focusing specifically on non-grammar-oriented prior exposure as the key independent variable.</w:t>
      </w:r>
    </w:p>
    <w:p w14:paraId="14964BA4" w14:textId="77777777" w:rsidR="0071453B" w:rsidRDefault="0071453B"/>
    <w:p w14:paraId="64E0890D" w14:textId="77777777" w:rsidR="0071453B" w:rsidRDefault="004A5C8C">
      <w:pPr>
        <w:spacing w:line="360" w:lineRule="auto"/>
        <w:jc w:val="both"/>
      </w:pPr>
      <w:r>
        <w:t xml:space="preserve">A related study by Tran and Duong (2023) conducted in Vietnam examined the relationship between prior English exposure and grammar performance in a short intensive course of four weeks' duration. While their findings offer partial comparability, their study was limited by its shorter timeframe and its Vietnamese institutional context, both of which differ meaningfully from the conditions at </w:t>
      </w:r>
      <w:proofErr w:type="spellStart"/>
      <w:r>
        <w:t>Kresna</w:t>
      </w:r>
      <w:proofErr w:type="spellEnd"/>
      <w:r>
        <w:t xml:space="preserve"> Course. The present study therefore extends this line of inquiry to the Indonesian context with a longer program duration of two months, employing a pre-test and post-test design to capture actual grammar gains rather than relying solely on end-point performance measures.</w:t>
      </w:r>
    </w:p>
    <w:p w14:paraId="14F69396" w14:textId="77777777" w:rsidR="0071453B" w:rsidRDefault="0071453B"/>
    <w:p w14:paraId="5288AF7E" w14:textId="77777777" w:rsidR="0071453B" w:rsidRDefault="004A5C8C">
      <w:pPr>
        <w:spacing w:line="360" w:lineRule="auto"/>
        <w:jc w:val="both"/>
      </w:pPr>
      <w:r>
        <w:t xml:space="preserve">Based on the foregoing considerations, this study addressed two research questions: (1) Is there a significant difference in grammar improvement between absolute beginner participants and participants with non-grammar prior exposure after completing the two-month package program at </w:t>
      </w:r>
      <w:proofErr w:type="spellStart"/>
      <w:r>
        <w:t>Kresna</w:t>
      </w:r>
      <w:proofErr w:type="spellEnd"/>
      <w:r>
        <w:t xml:space="preserve"> Course, Kampung </w:t>
      </w:r>
      <w:proofErr w:type="spellStart"/>
      <w:r>
        <w:t>Inggris</w:t>
      </w:r>
      <w:proofErr w:type="spellEnd"/>
      <w:r>
        <w:t xml:space="preserve"> Pare? (2) Which group demonstrates higher grammar improvement? The null hypothesis (H0) states that there is no significant difference in grammar improvement </w:t>
      </w:r>
      <w:r>
        <w:lastRenderedPageBreak/>
        <w:t>between the two groups, while the alternative hypothesis (H1) states that a significant difference exists.</w:t>
      </w:r>
    </w:p>
    <w:p w14:paraId="60C151FC" w14:textId="77777777" w:rsidR="0071453B" w:rsidRDefault="0071453B"/>
    <w:p w14:paraId="737308E2" w14:textId="77777777" w:rsidR="0071453B" w:rsidRDefault="004A5C8C">
      <w:pPr>
        <w:spacing w:before="240" w:after="120" w:line="360" w:lineRule="auto"/>
      </w:pPr>
      <w:r>
        <w:rPr>
          <w:b/>
          <w:bCs/>
        </w:rPr>
        <w:t>METHODS</w:t>
      </w:r>
    </w:p>
    <w:p w14:paraId="1F28CC3A" w14:textId="77777777" w:rsidR="0071453B" w:rsidRDefault="004A5C8C">
      <w:pPr>
        <w:spacing w:line="360" w:lineRule="auto"/>
        <w:jc w:val="both"/>
      </w:pPr>
      <w:r>
        <w:t>This study employed a quantitative comparative research design using a pre-test and post-test measurement approach to examine grammar improvement across two distinct learner groups. The comparative design was selected because the independent variable, which is the participants' prior English exposure status, is a naturally occurring characteristic that cannot be experimentally manipulated. All other conditions, including the tutor, instructional materials, program duration, and schedule, were held constant across both groups to ensure that any observed differences in grammar gains could be meaningfully attributed to the prior exposure variable.</w:t>
      </w:r>
    </w:p>
    <w:p w14:paraId="7B2F85F0" w14:textId="77777777" w:rsidR="0071453B" w:rsidRDefault="0071453B"/>
    <w:p w14:paraId="69324338" w14:textId="77777777" w:rsidR="0071453B" w:rsidRDefault="004A5C8C">
      <w:pPr>
        <w:spacing w:before="120" w:after="60" w:line="360" w:lineRule="auto"/>
      </w:pPr>
      <w:r>
        <w:rPr>
          <w:b/>
          <w:bCs/>
        </w:rPr>
        <w:t>Participants</w:t>
      </w:r>
    </w:p>
    <w:p w14:paraId="48499F13" w14:textId="77777777" w:rsidR="0071453B" w:rsidRDefault="004A5C8C">
      <w:pPr>
        <w:spacing w:line="360" w:lineRule="auto"/>
        <w:jc w:val="both"/>
      </w:pPr>
      <w:r>
        <w:t xml:space="preserve">The participants were drawn from learners enrolled in the two-month package program at </w:t>
      </w:r>
      <w:proofErr w:type="spellStart"/>
      <w:r>
        <w:t>Kresna</w:t>
      </w:r>
      <w:proofErr w:type="spellEnd"/>
      <w:r>
        <w:t xml:space="preserve"> Course, Kampung </w:t>
      </w:r>
      <w:proofErr w:type="spellStart"/>
      <w:r>
        <w:t>Inggris</w:t>
      </w:r>
      <w:proofErr w:type="spellEnd"/>
      <w:r>
        <w:t xml:space="preserve"> Pare. The accessible population was estimated at approximately 80 participants per program cycle. Using purposive sampling, participants were selected based on their prior English exposure status, as determined through a screening questionnaire administered before the pre-test. Group A (Absolute Beginners) consisted of participants who self-reported having no prior contact with English through any medium and who could not produce or comprehend basic English vocabulary or phrases. Group B (Non-Grammar Prior Exposure) consisted of participants who had been exposed to English informally through songs, films, games, or social media but had never received formal grammar instruction. Each group comprised an equal number of participants to ensure comparability in the statistical analysis.</w:t>
      </w:r>
    </w:p>
    <w:p w14:paraId="4B686CAD" w14:textId="77777777" w:rsidR="0071453B" w:rsidRDefault="0071453B"/>
    <w:p w14:paraId="001DFB59" w14:textId="77777777" w:rsidR="0071453B" w:rsidRDefault="004A5C8C">
      <w:pPr>
        <w:spacing w:before="120" w:after="60" w:line="360" w:lineRule="auto"/>
      </w:pPr>
      <w:r>
        <w:rPr>
          <w:b/>
          <w:bCs/>
        </w:rPr>
        <w:t>Instruments</w:t>
      </w:r>
    </w:p>
    <w:p w14:paraId="19403849" w14:textId="77777777" w:rsidR="0071453B" w:rsidRDefault="004A5C8C">
      <w:pPr>
        <w:spacing w:line="360" w:lineRule="auto"/>
        <w:jc w:val="both"/>
      </w:pPr>
      <w:r>
        <w:t xml:space="preserve">The primary instrument was a grammar achievement test developed by the researcher and validated by expert judgment. The test comprised multiple-choice and sentence-completion items covering core grammar topics included in the </w:t>
      </w:r>
      <w:proofErr w:type="spellStart"/>
      <w:r>
        <w:t>Kresna</w:t>
      </w:r>
      <w:proofErr w:type="spellEnd"/>
      <w:r>
        <w:t xml:space="preserve"> Course two-month program syllabus, such as verb tenses, subject-verb agreement, question formation, and basic sentence structure. The same test was administered as both the </w:t>
      </w:r>
      <w:r>
        <w:lastRenderedPageBreak/>
        <w:t>pre-test and the post-test. A screening questionnaire was also used to classify participants into the two groups prior to the pre-test administration.</w:t>
      </w:r>
    </w:p>
    <w:p w14:paraId="4FBC0FC7" w14:textId="77777777" w:rsidR="0071453B" w:rsidRDefault="0071453B"/>
    <w:p w14:paraId="7CB62388" w14:textId="77777777" w:rsidR="0071453B" w:rsidRDefault="004A5C8C">
      <w:pPr>
        <w:spacing w:before="120" w:after="60" w:line="360" w:lineRule="auto"/>
      </w:pPr>
      <w:r>
        <w:rPr>
          <w:b/>
          <w:bCs/>
        </w:rPr>
        <w:t>Procedures</w:t>
      </w:r>
    </w:p>
    <w:p w14:paraId="727E0D71" w14:textId="77777777" w:rsidR="0071453B" w:rsidRDefault="004A5C8C">
      <w:pPr>
        <w:spacing w:line="360" w:lineRule="auto"/>
        <w:jc w:val="both"/>
      </w:pPr>
      <w:r>
        <w:t>The study was conducted over the full duration of the two-month program. During the first week, the screening questionnaire was administered to all prospective participants, followed immediately by the pre-test. Both groups then underwent the same instructional program with identical tutors, materials, and schedules. At the end of the two-month program, the post-test was administered using the same instrument as the pre-test. Grammar improvement scores were computed for each participant by subtracting the pre-test score from the post-test score, yielding a gain score that served as the primary dependent variable.</w:t>
      </w:r>
    </w:p>
    <w:p w14:paraId="68D69DC3" w14:textId="77777777" w:rsidR="0071453B" w:rsidRDefault="0071453B"/>
    <w:p w14:paraId="0C6F2978" w14:textId="77777777" w:rsidR="0071453B" w:rsidRDefault="004A5C8C">
      <w:pPr>
        <w:spacing w:before="120" w:after="60" w:line="360" w:lineRule="auto"/>
      </w:pPr>
      <w:r>
        <w:rPr>
          <w:b/>
          <w:bCs/>
        </w:rPr>
        <w:t>Data Analysis</w:t>
      </w:r>
    </w:p>
    <w:p w14:paraId="1F969C17" w14:textId="77777777" w:rsidR="0071453B" w:rsidRDefault="004A5C8C">
      <w:pPr>
        <w:spacing w:line="360" w:lineRule="auto"/>
        <w:jc w:val="both"/>
      </w:pPr>
      <w:r>
        <w:t>Descriptive statistics, including means and standard deviations, were calculated for both groups' pre-test scores, post-test scores, and gain scores. Prior to inferential analysis, the normality of the gain score distributions was assessed using the Shapiro-Wilk test, and the homogeneity of variance was evaluated using Levene's test. The primary hypothesis was tested using an independent samples t-test to determine whether the difference in mean grammar gain scores between Group A and Group B was statistically significant. The significance threshold was set at p &lt; .05. All analyses were conducted using SPSS version 26.</w:t>
      </w:r>
    </w:p>
    <w:p w14:paraId="6FEEDA5F" w14:textId="77777777" w:rsidR="0071453B" w:rsidRDefault="0071453B"/>
    <w:p w14:paraId="6D5C28CD" w14:textId="77777777" w:rsidR="0071453B" w:rsidRDefault="0071453B"/>
    <w:p w14:paraId="039622A2" w14:textId="77777777" w:rsidR="0071453B" w:rsidRDefault="004A5C8C">
      <w:pPr>
        <w:spacing w:before="240" w:after="120" w:line="360" w:lineRule="auto"/>
      </w:pPr>
      <w:r>
        <w:rPr>
          <w:b/>
          <w:bCs/>
        </w:rPr>
        <w:t>REFERENCES</w:t>
      </w:r>
    </w:p>
    <w:p w14:paraId="31BB5288" w14:textId="77777777" w:rsidR="0071453B" w:rsidRDefault="004A5C8C">
      <w:pPr>
        <w:spacing w:after="60" w:line="360" w:lineRule="auto"/>
        <w:ind w:left="720" w:hanging="720"/>
        <w:jc w:val="both"/>
      </w:pPr>
      <w:r>
        <w:t xml:space="preserve">Akhmad, K. (2016). Teaching grammar at </w:t>
      </w:r>
      <w:proofErr w:type="spellStart"/>
      <w:r>
        <w:t>Kresna</w:t>
      </w:r>
      <w:proofErr w:type="spellEnd"/>
      <w:r>
        <w:t xml:space="preserve"> English Language Institute Pare-Kediri [Undergraduate thesis]. Universitas </w:t>
      </w:r>
      <w:proofErr w:type="spellStart"/>
      <w:r>
        <w:t>Brawijaya</w:t>
      </w:r>
      <w:proofErr w:type="spellEnd"/>
      <w:r>
        <w:t>.</w:t>
      </w:r>
    </w:p>
    <w:p w14:paraId="7A59EF4A" w14:textId="77777777" w:rsidR="0071453B" w:rsidRDefault="004A5C8C">
      <w:pPr>
        <w:spacing w:after="60" w:line="360" w:lineRule="auto"/>
        <w:ind w:left="720" w:hanging="720"/>
        <w:jc w:val="both"/>
      </w:pPr>
      <w:r>
        <w:t xml:space="preserve">Arini, U., &amp; </w:t>
      </w:r>
      <w:proofErr w:type="spellStart"/>
      <w:r>
        <w:t>Amroni</w:t>
      </w:r>
      <w:proofErr w:type="spellEnd"/>
      <w:r>
        <w:t xml:space="preserve">, A. (2020). The teaching of academic writing (a case study at </w:t>
      </w:r>
      <w:proofErr w:type="spellStart"/>
      <w:r>
        <w:t>Kresna</w:t>
      </w:r>
      <w:proofErr w:type="spellEnd"/>
      <w:r>
        <w:t xml:space="preserve"> English Course Pare). Education and Linguistics Knowledge Journal, 2(1), 85–97.</w:t>
      </w:r>
    </w:p>
    <w:p w14:paraId="673DD973" w14:textId="77777777" w:rsidR="0071453B" w:rsidRDefault="004A5C8C">
      <w:pPr>
        <w:spacing w:after="60" w:line="360" w:lineRule="auto"/>
        <w:ind w:left="720" w:hanging="720"/>
        <w:jc w:val="both"/>
      </w:pPr>
      <w:proofErr w:type="spellStart"/>
      <w:r>
        <w:t>Darwanto</w:t>
      </w:r>
      <w:proofErr w:type="spellEnd"/>
      <w:r>
        <w:t xml:space="preserve">, A., &amp; </w:t>
      </w:r>
      <w:proofErr w:type="spellStart"/>
      <w:r>
        <w:t>Sotyarini</w:t>
      </w:r>
      <w:proofErr w:type="spellEnd"/>
      <w:r>
        <w:t xml:space="preserve">, R. (2022). The needs analysis for amplifying extramural English learning among university students of English in Indonesia. </w:t>
      </w:r>
      <w:proofErr w:type="spellStart"/>
      <w:r>
        <w:t>Conscientia</w:t>
      </w:r>
      <w:proofErr w:type="spellEnd"/>
      <w:r>
        <w:t>-Journal on Language, Literature, and Culture, 18(1), 66–83.</w:t>
      </w:r>
    </w:p>
    <w:p w14:paraId="4ACBFC73" w14:textId="77777777" w:rsidR="0071453B" w:rsidRDefault="004A5C8C">
      <w:pPr>
        <w:spacing w:after="60" w:line="360" w:lineRule="auto"/>
        <w:ind w:left="720" w:hanging="720"/>
        <w:jc w:val="both"/>
      </w:pPr>
      <w:proofErr w:type="spellStart"/>
      <w:r>
        <w:lastRenderedPageBreak/>
        <w:t>Fauzie</w:t>
      </w:r>
      <w:proofErr w:type="spellEnd"/>
      <w:r>
        <w:t xml:space="preserve">, A. F. (2016). The implementation of teaching speaking at </w:t>
      </w:r>
      <w:proofErr w:type="spellStart"/>
      <w:r>
        <w:t>Kresna</w:t>
      </w:r>
      <w:proofErr w:type="spellEnd"/>
      <w:r>
        <w:t xml:space="preserve"> English Language Institute Pare [Undergraduate thesis]. Universitas Islam Kadiri.</w:t>
      </w:r>
    </w:p>
    <w:p w14:paraId="0EA0A24B" w14:textId="77777777" w:rsidR="0071453B" w:rsidRDefault="004A5C8C">
      <w:pPr>
        <w:spacing w:after="60" w:line="360" w:lineRule="auto"/>
        <w:ind w:left="720" w:hanging="720"/>
        <w:jc w:val="both"/>
      </w:pPr>
      <w:r>
        <w:t>Harmer, J. (2015). The practice of English language teaching. Pearson Education.</w:t>
      </w:r>
    </w:p>
    <w:p w14:paraId="437EDAE8" w14:textId="77777777" w:rsidR="0071453B" w:rsidRDefault="004A5C8C">
      <w:pPr>
        <w:spacing w:after="60" w:line="360" w:lineRule="auto"/>
        <w:ind w:left="720" w:hanging="720"/>
        <w:jc w:val="both"/>
      </w:pPr>
      <w:proofErr w:type="spellStart"/>
      <w:r>
        <w:t>Hentasmaka</w:t>
      </w:r>
      <w:proofErr w:type="spellEnd"/>
      <w:r>
        <w:t xml:space="preserve">, D., </w:t>
      </w:r>
      <w:proofErr w:type="spellStart"/>
      <w:r>
        <w:t>Anjarwati</w:t>
      </w:r>
      <w:proofErr w:type="spellEnd"/>
      <w:r>
        <w:t xml:space="preserve">, R., &amp; </w:t>
      </w:r>
      <w:proofErr w:type="spellStart"/>
      <w:r>
        <w:t>Ni'amah</w:t>
      </w:r>
      <w:proofErr w:type="spellEnd"/>
      <w:r>
        <w:t>, A. (2022). The use of smartphones as extramural English learning to enrich EFL learners' vocabulary. JEELL (Journal of English Education, Linguistics and Literature), 8(2), 178–192.</w:t>
      </w:r>
    </w:p>
    <w:p w14:paraId="74A0D0F1" w14:textId="77777777" w:rsidR="0071453B" w:rsidRDefault="004A5C8C">
      <w:pPr>
        <w:spacing w:after="60" w:line="360" w:lineRule="auto"/>
        <w:ind w:left="720" w:hanging="720"/>
        <w:jc w:val="both"/>
      </w:pPr>
      <w:r>
        <w:t>Hornay, P. M. A. (2021). Cognitive load theory and the English language instruction. ACCENTIA: Journal of English Language and Education, 1(1), 43–55.</w:t>
      </w:r>
    </w:p>
    <w:p w14:paraId="587CA583" w14:textId="77777777" w:rsidR="0071453B" w:rsidRDefault="004A5C8C">
      <w:pPr>
        <w:spacing w:after="60" w:line="360" w:lineRule="auto"/>
        <w:ind w:left="720" w:hanging="720"/>
        <w:jc w:val="both"/>
      </w:pPr>
      <w:proofErr w:type="spellStart"/>
      <w:r>
        <w:t>Idiganir</w:t>
      </w:r>
      <w:proofErr w:type="spellEnd"/>
      <w:r>
        <w:t xml:space="preserve">, S. (2018). An analysis of teacher's teaching grammar approaches used for teaching past tense at </w:t>
      </w:r>
      <w:proofErr w:type="spellStart"/>
      <w:r>
        <w:t>Kresna</w:t>
      </w:r>
      <w:proofErr w:type="spellEnd"/>
      <w:r>
        <w:t xml:space="preserve"> English Language Institute in Pare Kediri. Journal of Research in Foreign Language Teaching (JRFLT), 1(2), 35–42.</w:t>
      </w:r>
    </w:p>
    <w:p w14:paraId="40E66516" w14:textId="77777777" w:rsidR="0071453B" w:rsidRDefault="004A5C8C">
      <w:pPr>
        <w:spacing w:after="60" w:line="360" w:lineRule="auto"/>
        <w:ind w:left="720" w:hanging="720"/>
        <w:jc w:val="both"/>
      </w:pPr>
      <w:r>
        <w:t xml:space="preserve">Jahrani, A., &amp; </w:t>
      </w:r>
      <w:proofErr w:type="spellStart"/>
      <w:r>
        <w:t>Listia</w:t>
      </w:r>
      <w:proofErr w:type="spellEnd"/>
      <w:r>
        <w:t>, R. (2023). The impact of exposure on second language acquisition. IDEAS: Journal on English Language Teaching and Learning, Linguistics and Literature, 11(1), 416–424.</w:t>
      </w:r>
    </w:p>
    <w:p w14:paraId="61C0D64E" w14:textId="77777777" w:rsidR="0071453B" w:rsidRDefault="004A5C8C">
      <w:pPr>
        <w:spacing w:after="60" w:line="360" w:lineRule="auto"/>
        <w:ind w:left="720" w:hanging="720"/>
        <w:jc w:val="both"/>
      </w:pPr>
      <w:r>
        <w:t xml:space="preserve">Laila, A. N., &amp; </w:t>
      </w:r>
      <w:proofErr w:type="spellStart"/>
      <w:r>
        <w:t>Nurrahma</w:t>
      </w:r>
      <w:proofErr w:type="spellEnd"/>
      <w:r>
        <w:t xml:space="preserve">, A. I. (2020). An analysis on teaching learning grammar at Planet English 67th </w:t>
      </w:r>
      <w:proofErr w:type="spellStart"/>
      <w:r>
        <w:t>Kresna</w:t>
      </w:r>
      <w:proofErr w:type="spellEnd"/>
      <w:r>
        <w:t xml:space="preserve"> English Language Institute, Pare Kediri. DELTA, 1(1), 1–7.</w:t>
      </w:r>
    </w:p>
    <w:p w14:paraId="3DEA5BF5" w14:textId="77777777" w:rsidR="0071453B" w:rsidRDefault="004A5C8C">
      <w:pPr>
        <w:spacing w:after="60" w:line="360" w:lineRule="auto"/>
        <w:ind w:left="720" w:hanging="720"/>
        <w:jc w:val="both"/>
      </w:pPr>
      <w:r>
        <w:t xml:space="preserve">Muslimin, A. I., &amp; </w:t>
      </w:r>
      <w:proofErr w:type="spellStart"/>
      <w:r>
        <w:t>Suhartoyo</w:t>
      </w:r>
      <w:proofErr w:type="spellEnd"/>
      <w:r>
        <w:t>, E. (2024). Exploring the dynamic interplay of personality, language learning strategies, and environment in Indonesian EFL learners' success. International Journal of Arabic-English Studies, 119–134.</w:t>
      </w:r>
    </w:p>
    <w:p w14:paraId="62D695E0" w14:textId="77777777" w:rsidR="0071453B" w:rsidRDefault="004A5C8C">
      <w:pPr>
        <w:spacing w:after="60" w:line="360" w:lineRule="auto"/>
        <w:ind w:left="720" w:hanging="720"/>
        <w:jc w:val="both"/>
      </w:pPr>
      <w:r>
        <w:t xml:space="preserve">Ramadhani, A. (2020). Analysis of students' writing by using surface taxonomy strategy at pre-planet program of </w:t>
      </w:r>
      <w:proofErr w:type="spellStart"/>
      <w:r>
        <w:t>Kresna</w:t>
      </w:r>
      <w:proofErr w:type="spellEnd"/>
      <w:r>
        <w:t xml:space="preserve"> English Language Institute. </w:t>
      </w:r>
      <w:proofErr w:type="spellStart"/>
      <w:r>
        <w:t>Jurnal</w:t>
      </w:r>
      <w:proofErr w:type="spellEnd"/>
      <w:r>
        <w:t xml:space="preserve"> Pendidikan Bahasa </w:t>
      </w:r>
      <w:proofErr w:type="spellStart"/>
      <w:r>
        <w:t>Inggris</w:t>
      </w:r>
      <w:proofErr w:type="spellEnd"/>
      <w:r>
        <w:t xml:space="preserve"> Proficiency, 2(1), 1–9.</w:t>
      </w:r>
    </w:p>
    <w:p w14:paraId="5D40A457" w14:textId="77777777" w:rsidR="0071453B" w:rsidRDefault="004A5C8C">
      <w:pPr>
        <w:spacing w:after="60" w:line="360" w:lineRule="auto"/>
        <w:ind w:left="720" w:hanging="720"/>
        <w:jc w:val="both"/>
      </w:pPr>
      <w:r>
        <w:t>Tran, T. Q., &amp; Duong, T. M. (2023). Prior English exposure and grammar performance in short intensive EFL courses: A comparative study. Journal of Language and Linguistic Studies, 19(1), 112–128.</w:t>
      </w:r>
    </w:p>
    <w:sectPr w:rsidR="0071453B" w:rsidSect="0039501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pgNumType w:start="25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D850F" w14:textId="77777777" w:rsidR="00014B54" w:rsidRDefault="00014B54" w:rsidP="00395011">
      <w:r>
        <w:separator/>
      </w:r>
    </w:p>
  </w:endnote>
  <w:endnote w:type="continuationSeparator" w:id="0">
    <w:p w14:paraId="5C65B1F1" w14:textId="77777777" w:rsidR="00014B54" w:rsidRDefault="00014B54" w:rsidP="0039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Rockwell">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21CE7" w14:textId="77777777" w:rsidR="00395011" w:rsidRDefault="00395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97510" w14:textId="77777777" w:rsidR="00395011" w:rsidRDefault="00395011" w:rsidP="00395011">
    <w:pPr>
      <w:pBdr>
        <w:top w:val="nil"/>
        <w:left w:val="nil"/>
        <w:bottom w:val="nil"/>
        <w:right w:val="nil"/>
        <w:between w:val="nil"/>
      </w:pBdr>
      <w:tabs>
        <w:tab w:val="right" w:pos="9070"/>
      </w:tabs>
      <w:ind w:hanging="2"/>
      <w:jc w:val="center"/>
      <w:rPr>
        <w:rFonts w:ascii="Rockwell" w:eastAsia="Rockwell" w:hAnsi="Rockwell" w:cs="Rockwell"/>
        <w:color w:val="14304D"/>
        <w:sz w:val="16"/>
        <w:szCs w:val="16"/>
        <w:highlight w:val="white"/>
      </w:rPr>
    </w:pPr>
    <w:r>
      <w:rPr>
        <w:rFonts w:ascii="Rockwell" w:eastAsia="Rockwell" w:hAnsi="Rockwell" w:cs="Rockwell"/>
        <w:b/>
        <w:bCs/>
        <w:color w:val="14304D"/>
        <w:sz w:val="16"/>
        <w:szCs w:val="16"/>
        <w:highlight w:val="white"/>
      </w:rPr>
      <w:t>3</w:t>
    </w:r>
    <w:r>
      <w:rPr>
        <w:rFonts w:ascii="Rockwell" w:eastAsia="Rockwell" w:hAnsi="Rockwell" w:cs="Rockwell"/>
        <w:b/>
        <w:bCs/>
        <w:color w:val="14304D"/>
        <w:sz w:val="16"/>
        <w:szCs w:val="16"/>
        <w:highlight w:val="white"/>
        <w:vertAlign w:val="superscript"/>
      </w:rPr>
      <w:t>rd</w:t>
    </w:r>
    <w:r>
      <w:rPr>
        <w:rFonts w:ascii="Rockwell" w:eastAsia="Rockwell" w:hAnsi="Rockwell" w:cs="Rockwell"/>
        <w:b/>
        <w:bCs/>
        <w:color w:val="14304D"/>
        <w:sz w:val="16"/>
        <w:szCs w:val="16"/>
        <w:highlight w:val="white"/>
      </w:rPr>
      <w:t> INTERNATIONAL CONFERENCE ON ENGLISH LANGUAGE EDUCATION FOR UNDERGRADUATE STUDENTS</w:t>
    </w:r>
  </w:p>
  <w:p w14:paraId="720CD2A2" w14:textId="77777777" w:rsidR="00395011" w:rsidRDefault="00395011" w:rsidP="0039501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Organised by the English Education Department, Faculty of Teacher Training and Education, </w:t>
    </w:r>
  </w:p>
  <w:p w14:paraId="70F97960" w14:textId="77777777" w:rsidR="00395011" w:rsidRDefault="00395011" w:rsidP="00395011">
    <w:pPr>
      <w:pBdr>
        <w:top w:val="nil"/>
        <w:left w:val="nil"/>
        <w:bottom w:val="nil"/>
        <w:right w:val="nil"/>
        <w:between w:val="nil"/>
      </w:pBdr>
      <w:tabs>
        <w:tab w:val="right" w:pos="9070"/>
      </w:tabs>
      <w:ind w:hanging="2"/>
      <w:jc w:val="center"/>
      <w:rPr>
        <w:rFonts w:ascii="Rockwell" w:eastAsia="Rockwell" w:hAnsi="Rockwell" w:cs="Rockwell"/>
        <w:color w:val="000000"/>
        <w:sz w:val="16"/>
        <w:szCs w:val="16"/>
      </w:rPr>
    </w:pPr>
    <w:r>
      <w:rPr>
        <w:rFonts w:ascii="Rockwell" w:eastAsia="Rockwell" w:hAnsi="Rockwell" w:cs="Rockwell"/>
        <w:color w:val="000000"/>
        <w:sz w:val="16"/>
        <w:szCs w:val="16"/>
      </w:rPr>
      <w:t xml:space="preserve">Universitas Islam Kadiri   </w:t>
    </w:r>
    <w:r>
      <w:rPr>
        <w:rFonts w:ascii="Rockwell" w:eastAsia="Rockwell" w:hAnsi="Rockwell" w:cs="Rockwell"/>
        <w:color w:val="000000"/>
        <w:sz w:val="16"/>
        <w:szCs w:val="16"/>
        <w:vertAlign w:val="superscript"/>
      </w:rPr>
      <w:t>©</w:t>
    </w:r>
    <w:r>
      <w:rPr>
        <w:rFonts w:ascii="Rockwell" w:eastAsia="Rockwell" w:hAnsi="Rockwell" w:cs="Rockwell"/>
        <w:color w:val="000000"/>
        <w:sz w:val="16"/>
        <w:szCs w:val="16"/>
      </w:rPr>
      <w:t>2026</w:t>
    </w:r>
  </w:p>
  <w:p w14:paraId="248DAD33" w14:textId="74DB20C3" w:rsidR="00395011" w:rsidRDefault="00395011" w:rsidP="0039501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E723F" w14:textId="77777777" w:rsidR="00395011" w:rsidRDefault="003950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0A2EA" w14:textId="77777777" w:rsidR="00014B54" w:rsidRDefault="00014B54" w:rsidP="00395011">
      <w:r>
        <w:separator/>
      </w:r>
    </w:p>
  </w:footnote>
  <w:footnote w:type="continuationSeparator" w:id="0">
    <w:p w14:paraId="319C41DB" w14:textId="77777777" w:rsidR="00014B54" w:rsidRDefault="00014B54" w:rsidP="003950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EABFC" w14:textId="77777777" w:rsidR="00395011" w:rsidRDefault="003950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D5429" w14:textId="77777777" w:rsidR="00395011" w:rsidRDefault="003950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D4BDF" w14:textId="77777777" w:rsidR="00395011" w:rsidRDefault="003950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1021E6"/>
    <w:multiLevelType w:val="hybridMultilevel"/>
    <w:tmpl w:val="44F00870"/>
    <w:lvl w:ilvl="0" w:tplc="2BE4373A">
      <w:start w:val="1"/>
      <w:numFmt w:val="bullet"/>
      <w:lvlText w:val="●"/>
      <w:lvlJc w:val="left"/>
      <w:pPr>
        <w:ind w:left="720" w:hanging="360"/>
      </w:pPr>
    </w:lvl>
    <w:lvl w:ilvl="1" w:tplc="1722B8EA">
      <w:start w:val="1"/>
      <w:numFmt w:val="bullet"/>
      <w:lvlText w:val="○"/>
      <w:lvlJc w:val="left"/>
      <w:pPr>
        <w:ind w:left="1440" w:hanging="360"/>
      </w:pPr>
    </w:lvl>
    <w:lvl w:ilvl="2" w:tplc="7E72529A">
      <w:start w:val="1"/>
      <w:numFmt w:val="bullet"/>
      <w:lvlText w:val="■"/>
      <w:lvlJc w:val="left"/>
      <w:pPr>
        <w:ind w:left="2160" w:hanging="360"/>
      </w:pPr>
    </w:lvl>
    <w:lvl w:ilvl="3" w:tplc="66BA8C12">
      <w:start w:val="1"/>
      <w:numFmt w:val="bullet"/>
      <w:lvlText w:val="●"/>
      <w:lvlJc w:val="left"/>
      <w:pPr>
        <w:ind w:left="2880" w:hanging="360"/>
      </w:pPr>
    </w:lvl>
    <w:lvl w:ilvl="4" w:tplc="15A4B2CE">
      <w:start w:val="1"/>
      <w:numFmt w:val="bullet"/>
      <w:lvlText w:val="○"/>
      <w:lvlJc w:val="left"/>
      <w:pPr>
        <w:ind w:left="3600" w:hanging="360"/>
      </w:pPr>
    </w:lvl>
    <w:lvl w:ilvl="5" w:tplc="3B48ACC6">
      <w:start w:val="1"/>
      <w:numFmt w:val="bullet"/>
      <w:lvlText w:val="■"/>
      <w:lvlJc w:val="left"/>
      <w:pPr>
        <w:ind w:left="4320" w:hanging="360"/>
      </w:pPr>
    </w:lvl>
    <w:lvl w:ilvl="6" w:tplc="9A7281EA">
      <w:start w:val="1"/>
      <w:numFmt w:val="bullet"/>
      <w:lvlText w:val="●"/>
      <w:lvlJc w:val="left"/>
      <w:pPr>
        <w:ind w:left="5040" w:hanging="360"/>
      </w:pPr>
    </w:lvl>
    <w:lvl w:ilvl="7" w:tplc="80584BA2">
      <w:start w:val="1"/>
      <w:numFmt w:val="bullet"/>
      <w:lvlText w:val="●"/>
      <w:lvlJc w:val="left"/>
      <w:pPr>
        <w:ind w:left="5760" w:hanging="360"/>
      </w:pPr>
    </w:lvl>
    <w:lvl w:ilvl="8" w:tplc="1A1E34D8">
      <w:start w:val="1"/>
      <w:numFmt w:val="bullet"/>
      <w:lvlText w:val="●"/>
      <w:lvlJc w:val="left"/>
      <w:pPr>
        <w:ind w:left="6480" w:hanging="360"/>
      </w:pPr>
    </w:lvl>
  </w:abstractNum>
  <w:num w:numId="1" w16cid:durableId="5522760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53B"/>
    <w:rsid w:val="00014B54"/>
    <w:rsid w:val="00395011"/>
    <w:rsid w:val="004A5C8C"/>
    <w:rsid w:val="00582D44"/>
    <w:rsid w:val="0071453B"/>
    <w:rsid w:val="00847AFA"/>
    <w:rsid w:val="00A7133E"/>
    <w:rsid w:val="00C73D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16FDB"/>
  <w15:docId w15:val="{B64CBD17-CC8E-4F17-B5FC-457A9250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odyText">
    <w:name w:val="Body Text"/>
    <w:basedOn w:val="Normal"/>
    <w:link w:val="BodyTextChar"/>
    <w:uiPriority w:val="1"/>
    <w:semiHidden/>
    <w:unhideWhenUsed/>
    <w:qFormat/>
    <w:rsid w:val="00582D44"/>
    <w:pPr>
      <w:widowControl w:val="0"/>
      <w:autoSpaceDE w:val="0"/>
      <w:autoSpaceDN w:val="0"/>
      <w:spacing w:before="258"/>
    </w:pPr>
    <w:rPr>
      <w:rFonts w:ascii="Arial MT" w:eastAsia="Arial MT" w:hAnsi="Arial MT" w:cs="Arial MT"/>
      <w:lang w:val="en-US" w:eastAsia="en-US"/>
    </w:rPr>
  </w:style>
  <w:style w:type="character" w:customStyle="1" w:styleId="BodyTextChar">
    <w:name w:val="Body Text Char"/>
    <w:basedOn w:val="DefaultParagraphFont"/>
    <w:link w:val="BodyText"/>
    <w:uiPriority w:val="1"/>
    <w:semiHidden/>
    <w:rsid w:val="00582D44"/>
    <w:rPr>
      <w:rFonts w:ascii="Arial MT" w:eastAsia="Arial MT" w:hAnsi="Arial MT" w:cs="Arial MT"/>
      <w:lang w:val="en-US" w:eastAsia="en-US"/>
    </w:rPr>
  </w:style>
  <w:style w:type="paragraph" w:styleId="Header">
    <w:name w:val="header"/>
    <w:basedOn w:val="Normal"/>
    <w:link w:val="HeaderChar"/>
    <w:uiPriority w:val="99"/>
    <w:unhideWhenUsed/>
    <w:rsid w:val="00395011"/>
    <w:pPr>
      <w:tabs>
        <w:tab w:val="center" w:pos="4513"/>
        <w:tab w:val="right" w:pos="9026"/>
      </w:tabs>
    </w:pPr>
  </w:style>
  <w:style w:type="character" w:customStyle="1" w:styleId="HeaderChar">
    <w:name w:val="Header Char"/>
    <w:basedOn w:val="DefaultParagraphFont"/>
    <w:link w:val="Header"/>
    <w:uiPriority w:val="99"/>
    <w:rsid w:val="00395011"/>
  </w:style>
  <w:style w:type="paragraph" w:styleId="Footer">
    <w:name w:val="footer"/>
    <w:basedOn w:val="Normal"/>
    <w:link w:val="FooterChar"/>
    <w:uiPriority w:val="99"/>
    <w:unhideWhenUsed/>
    <w:rsid w:val="00395011"/>
    <w:pPr>
      <w:tabs>
        <w:tab w:val="center" w:pos="4513"/>
        <w:tab w:val="right" w:pos="9026"/>
      </w:tabs>
    </w:pPr>
  </w:style>
  <w:style w:type="character" w:customStyle="1" w:styleId="FooterChar">
    <w:name w:val="Footer Char"/>
    <w:basedOn w:val="DefaultParagraphFont"/>
    <w:link w:val="Footer"/>
    <w:uiPriority w:val="99"/>
    <w:rsid w:val="003950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899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5</cp:revision>
  <cp:lastPrinted>2026-06-04T08:58:00Z</cp:lastPrinted>
  <dcterms:created xsi:type="dcterms:W3CDTF">2026-05-30T09:28:00Z</dcterms:created>
  <dcterms:modified xsi:type="dcterms:W3CDTF">2026-08-03T03:42:00Z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6b07afb0-4a7f-4f9f-b369-ce98a63115d9</vt:lpwstr>
  </property>
</Properties>
</file>