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0C349" w14:textId="77777777" w:rsidR="000C48A9" w:rsidRDefault="000C48A9" w:rsidP="000C48A9">
      <w:pPr>
        <w:pBdr>
          <w:top w:val="nil"/>
          <w:left w:val="nil"/>
          <w:bottom w:val="nil"/>
          <w:right w:val="nil"/>
          <w:between w:val="nil"/>
        </w:pBdr>
        <w:tabs>
          <w:tab w:val="left" w:pos="1650"/>
        </w:tabs>
        <w:ind w:firstLine="0"/>
        <w:jc w:val="center"/>
        <w:rPr>
          <w:color w:val="000000"/>
        </w:rPr>
      </w:pPr>
      <w:r>
        <w:rPr>
          <w:noProof/>
          <w:color w:val="000000"/>
          <w:lang w:val="en-US" w:eastAsia="en-US"/>
        </w:rPr>
        <w:drawing>
          <wp:anchor distT="0" distB="0" distL="114300" distR="114300" simplePos="0" relativeHeight="251664384" behindDoc="1" locked="0" layoutInCell="1" allowOverlap="1" wp14:anchorId="7AD64B8E" wp14:editId="1FBADE6D">
            <wp:simplePos x="0" y="0"/>
            <wp:positionH relativeFrom="margin">
              <wp:align>center</wp:align>
            </wp:positionH>
            <wp:positionV relativeFrom="paragraph">
              <wp:posOffset>-927735</wp:posOffset>
            </wp:positionV>
            <wp:extent cx="2844590" cy="11823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9" cstate="print">
                      <a:extLst>
                        <a:ext uri="{28A0092B-C50C-407E-A947-70E740481C1C}">
                          <a14:useLocalDpi xmlns:a14="http://schemas.microsoft.com/office/drawing/2010/main" val="0"/>
                        </a:ext>
                      </a:extLst>
                    </a:blip>
                    <a:srcRect t="17020" b="7489"/>
                    <a:stretch>
                      <a:fillRect/>
                    </a:stretch>
                  </pic:blipFill>
                  <pic:spPr bwMode="auto">
                    <a:xfrm>
                      <a:off x="0" y="0"/>
                      <a:ext cx="2844590" cy="1182370"/>
                    </a:xfrm>
                    <a:prstGeom prst="rect">
                      <a:avLst/>
                    </a:prstGeom>
                    <a:ln>
                      <a:noFill/>
                    </a:ln>
                    <a:extLst>
                      <a:ext uri="{53640926-AAD7-44D8-BBD7-CCE9431645EC}">
                        <a14:shadowObscured xmlns:a14="http://schemas.microsoft.com/office/drawing/2010/main"/>
                      </a:ext>
                    </a:extLst>
                  </pic:spPr>
                </pic:pic>
              </a:graphicData>
            </a:graphic>
          </wp:anchor>
        </w:drawing>
      </w:r>
    </w:p>
    <w:p w14:paraId="4FF08F30" w14:textId="77777777" w:rsidR="000C48A9" w:rsidRDefault="000C48A9" w:rsidP="000C48A9">
      <w:pPr>
        <w:pBdr>
          <w:top w:val="nil"/>
          <w:left w:val="nil"/>
          <w:bottom w:val="single" w:sz="6" w:space="1" w:color="auto"/>
          <w:right w:val="nil"/>
          <w:between w:val="nil"/>
        </w:pBdr>
        <w:tabs>
          <w:tab w:val="left" w:pos="1650"/>
        </w:tabs>
        <w:ind w:firstLine="0"/>
        <w:jc w:val="center"/>
        <w:rPr>
          <w:color w:val="000000"/>
        </w:rPr>
      </w:pPr>
    </w:p>
    <w:p w14:paraId="5AB2077E" w14:textId="77777777" w:rsidR="000C48A9" w:rsidRDefault="000C48A9" w:rsidP="000C48A9">
      <w:pPr>
        <w:pBdr>
          <w:left w:val="nil"/>
          <w:bottom w:val="nil"/>
          <w:right w:val="nil"/>
          <w:between w:val="nil"/>
        </w:pBdr>
        <w:tabs>
          <w:tab w:val="left" w:pos="1650"/>
        </w:tabs>
        <w:ind w:firstLine="0"/>
        <w:rPr>
          <w:color w:val="000000"/>
        </w:rPr>
      </w:pPr>
    </w:p>
    <w:p w14:paraId="5958DBBB" w14:textId="49A8E74E" w:rsidR="00F60806" w:rsidRPr="005A1B9E" w:rsidRDefault="000846C7" w:rsidP="000846C7">
      <w:pPr>
        <w:keepNext/>
        <w:pBdr>
          <w:top w:val="nil"/>
          <w:left w:val="nil"/>
          <w:bottom w:val="nil"/>
          <w:right w:val="nil"/>
          <w:between w:val="nil"/>
        </w:pBdr>
        <w:spacing w:after="200"/>
        <w:ind w:firstLine="0"/>
        <w:rPr>
          <w:b/>
          <w:bCs/>
          <w:color w:val="000000"/>
          <w:sz w:val="28"/>
          <w:szCs w:val="28"/>
        </w:rPr>
      </w:pPr>
      <w:r w:rsidRPr="000846C7">
        <w:rPr>
          <w:b/>
          <w:bCs/>
          <w:sz w:val="28"/>
          <w:szCs w:val="28"/>
          <w:lang w:val="en-ID"/>
        </w:rPr>
        <w:t>Pedagogical Strategies for Enhancing Critical Language Awareness in Inclusive English Classrooms</w:t>
      </w:r>
    </w:p>
    <w:p w14:paraId="57BC154E" w14:textId="4B7B3017" w:rsidR="00374A05" w:rsidRDefault="00DE454A" w:rsidP="005A1B9E">
      <w:pPr>
        <w:pBdr>
          <w:top w:val="nil"/>
          <w:left w:val="nil"/>
          <w:bottom w:val="nil"/>
          <w:right w:val="nil"/>
          <w:between w:val="nil"/>
        </w:pBdr>
        <w:ind w:hanging="2"/>
        <w:rPr>
          <w:i/>
          <w:iCs/>
          <w:color w:val="000000"/>
          <w:sz w:val="20"/>
          <w:szCs w:val="20"/>
        </w:rPr>
      </w:pPr>
      <w:r>
        <w:rPr>
          <w:i/>
          <w:iCs/>
          <w:color w:val="000000"/>
          <w:sz w:val="20"/>
          <w:szCs w:val="20"/>
        </w:rPr>
        <w:t>First Author</w:t>
      </w:r>
      <w:r>
        <w:rPr>
          <w:i/>
          <w:iCs/>
          <w:color w:val="000000"/>
          <w:sz w:val="20"/>
          <w:szCs w:val="20"/>
          <w:vertAlign w:val="superscript"/>
        </w:rPr>
        <w:t>1</w:t>
      </w:r>
      <w:r>
        <w:rPr>
          <w:i/>
          <w:iCs/>
          <w:color w:val="000000"/>
          <w:sz w:val="20"/>
          <w:szCs w:val="20"/>
        </w:rPr>
        <w:t>, Second Author</w:t>
      </w:r>
      <w:r>
        <w:rPr>
          <w:i/>
          <w:iCs/>
          <w:color w:val="000000"/>
          <w:sz w:val="20"/>
          <w:szCs w:val="20"/>
          <w:vertAlign w:val="superscript"/>
        </w:rPr>
        <w:t>2</w:t>
      </w:r>
      <w:r>
        <w:rPr>
          <w:i/>
          <w:iCs/>
          <w:color w:val="000000"/>
          <w:sz w:val="20"/>
          <w:szCs w:val="20"/>
        </w:rPr>
        <w:t>, Third Author</w:t>
      </w:r>
      <w:r w:rsidR="00F67708">
        <w:rPr>
          <w:i/>
          <w:iCs/>
          <w:color w:val="000000"/>
          <w:sz w:val="20"/>
          <w:szCs w:val="20"/>
          <w:vertAlign w:val="superscript"/>
        </w:rPr>
        <w:t>3</w:t>
      </w:r>
    </w:p>
    <w:p w14:paraId="031CB2B4" w14:textId="06162361" w:rsidR="00374A05" w:rsidRDefault="00DE454A" w:rsidP="005A1B9E">
      <w:pPr>
        <w:pBdr>
          <w:top w:val="nil"/>
          <w:left w:val="nil"/>
          <w:bottom w:val="nil"/>
          <w:right w:val="nil"/>
          <w:between w:val="nil"/>
        </w:pBdr>
        <w:ind w:hanging="2"/>
        <w:rPr>
          <w:i/>
          <w:iCs/>
          <w:color w:val="000000"/>
          <w:sz w:val="20"/>
          <w:szCs w:val="20"/>
        </w:rPr>
      </w:pPr>
      <w:r>
        <w:rPr>
          <w:i/>
          <w:iCs/>
          <w:color w:val="000000"/>
          <w:sz w:val="20"/>
          <w:szCs w:val="20"/>
          <w:vertAlign w:val="superscript"/>
        </w:rPr>
        <w:t>1</w:t>
      </w:r>
      <w:r>
        <w:rPr>
          <w:i/>
          <w:iCs/>
          <w:color w:val="000000"/>
          <w:sz w:val="20"/>
          <w:szCs w:val="20"/>
        </w:rPr>
        <w:t xml:space="preserve"> Institution or affiliation, country</w:t>
      </w:r>
      <w:r w:rsidR="005A1B9E">
        <w:rPr>
          <w:i/>
          <w:iCs/>
          <w:color w:val="000000"/>
          <w:sz w:val="20"/>
          <w:szCs w:val="20"/>
        </w:rPr>
        <w:t xml:space="preserve">; </w:t>
      </w:r>
      <w:r>
        <w:rPr>
          <w:i/>
          <w:iCs/>
          <w:color w:val="000000"/>
          <w:sz w:val="20"/>
          <w:szCs w:val="20"/>
          <w:vertAlign w:val="superscript"/>
        </w:rPr>
        <w:t>2</w:t>
      </w:r>
      <w:r>
        <w:rPr>
          <w:i/>
          <w:iCs/>
          <w:color w:val="000000"/>
          <w:sz w:val="20"/>
          <w:szCs w:val="20"/>
        </w:rPr>
        <w:t xml:space="preserve"> Institution or affiliation, country</w:t>
      </w:r>
      <w:r w:rsidR="005A1B9E">
        <w:rPr>
          <w:i/>
          <w:iCs/>
          <w:color w:val="000000"/>
          <w:sz w:val="20"/>
          <w:szCs w:val="20"/>
        </w:rPr>
        <w:t xml:space="preserve">; </w:t>
      </w:r>
      <w:r w:rsidR="005A1B9E">
        <w:rPr>
          <w:i/>
          <w:iCs/>
          <w:color w:val="000000"/>
          <w:sz w:val="20"/>
          <w:szCs w:val="20"/>
          <w:vertAlign w:val="superscript"/>
        </w:rPr>
        <w:t>3</w:t>
      </w:r>
      <w:r w:rsidR="005A1B9E">
        <w:rPr>
          <w:i/>
          <w:iCs/>
          <w:color w:val="000000"/>
          <w:sz w:val="20"/>
          <w:szCs w:val="20"/>
        </w:rPr>
        <w:t xml:space="preserve"> Institution or affiliation, country</w:t>
      </w:r>
    </w:p>
    <w:p w14:paraId="6929C891" w14:textId="60A834BD" w:rsidR="00535505" w:rsidRDefault="005A1B9E" w:rsidP="005A1B9E">
      <w:pPr>
        <w:pBdr>
          <w:top w:val="nil"/>
          <w:left w:val="nil"/>
          <w:bottom w:val="nil"/>
          <w:right w:val="nil"/>
          <w:between w:val="nil"/>
        </w:pBdr>
        <w:spacing w:after="720"/>
        <w:ind w:hanging="2"/>
        <w:rPr>
          <w:i/>
          <w:iCs/>
          <w:color w:val="000000"/>
          <w:sz w:val="20"/>
          <w:szCs w:val="20"/>
        </w:rPr>
      </w:pPr>
      <w:r>
        <w:rPr>
          <w:i/>
          <w:iCs/>
          <w:noProof/>
          <w:color w:val="000000"/>
          <w:sz w:val="20"/>
          <w:szCs w:val="20"/>
          <w:lang w:val="en-US" w:eastAsia="en-US"/>
        </w:rPr>
        <mc:AlternateContent>
          <mc:Choice Requires="wps">
            <w:drawing>
              <wp:anchor distT="0" distB="0" distL="114300" distR="114300" simplePos="0" relativeHeight="251659264" behindDoc="0" locked="0" layoutInCell="1" allowOverlap="1" wp14:anchorId="21C56874" wp14:editId="021CC692">
                <wp:simplePos x="0" y="0"/>
                <wp:positionH relativeFrom="column">
                  <wp:posOffset>763270</wp:posOffset>
                </wp:positionH>
                <wp:positionV relativeFrom="paragraph">
                  <wp:posOffset>515620</wp:posOffset>
                </wp:positionV>
                <wp:extent cx="4902200" cy="12700"/>
                <wp:effectExtent l="38100" t="38100" r="69850" b="82550"/>
                <wp:wrapNone/>
                <wp:docPr id="2125849312"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2EE6C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1pt,40.6pt" to="446.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zdURZtsAAAAJAQAADwAAAGRycy9kb3ducmV2LnhtbEyPQUvEMBCF74L/IYzgRdx0I2qtTRcR&#10;PQh7cRXPs82YFJukNNlt/PeOJz3Ne8zjzTftpvhRHGlOQwwa1qsKBIU+miFYDe9vz5c1iJQxGBxj&#10;IA3flGDTnZ602Ji4hFc67rIVXBJSgxpczlMjZeodeUyrOFHg3WecPWa2s5VmxoXL/ShVVd1Ij0Pg&#10;Cw4nenTUf+0OXkNfZLlwT8Yu9vbFbDHVH/J6q/X5WXm4B5Gp5L8w/OIzOnTMtI+HYJIY2atKcVRD&#10;vebJgfpOsdizuFIgu1b+/6D7AQAA//8DAFBLAQItABQABgAIAAAAIQC2gziS/gAAAOEBAAATAAAA&#10;AAAAAAAAAAAAAAAAAABbQ29udGVudF9UeXBlc10ueG1sUEsBAi0AFAAGAAgAAAAhADj9If/WAAAA&#10;lAEAAAsAAAAAAAAAAAAAAAAALwEAAF9yZWxzLy5yZWxzUEsBAi0AFAAGAAgAAAAhAHZTAcSdAQAA&#10;jAMAAA4AAAAAAAAAAAAAAAAALgIAAGRycy9lMm9Eb2MueG1sUEsBAi0AFAAGAAgAAAAhAM3VEWbb&#10;AAAACQEAAA8AAAAAAAAAAAAAAAAA9wMAAGRycy9kb3ducmV2LnhtbFBLBQYAAAAABAAEAPMAAAD/&#10;BAAAAAA=&#10;" strokecolor="black [3200]" strokeweight="2pt">
                <v:shadow on="t" color="black" opacity="24903f" origin=",.5" offset="0,.55556mm"/>
              </v:line>
            </w:pict>
          </mc:Fallback>
        </mc:AlternateContent>
      </w:r>
      <w:r>
        <w:rPr>
          <w:i/>
          <w:iCs/>
          <w:color w:val="000000"/>
          <w:sz w:val="20"/>
          <w:szCs w:val="20"/>
        </w:rPr>
        <w:t>Corresponding author’s e-mail</w:t>
      </w:r>
      <w:r w:rsidR="00F60806">
        <w:rPr>
          <w:i/>
          <w:iCs/>
          <w:color w:val="000000"/>
          <w:sz w:val="20"/>
          <w:szCs w:val="20"/>
        </w:rPr>
        <w:t xml:space="preserve">: </w:t>
      </w:r>
      <w:hyperlink r:id="rId10" w:history="1">
        <w:r w:rsidR="00535505" w:rsidRPr="006522A9">
          <w:rPr>
            <w:rStyle w:val="Hyperlink"/>
            <w:i/>
            <w:iCs/>
            <w:sz w:val="20"/>
            <w:szCs w:val="20"/>
          </w:rPr>
          <w:t>example@gmail.com</w:t>
        </w:r>
      </w:hyperlink>
      <w:r>
        <w:rPr>
          <w:i/>
          <w:iCs/>
          <w:color w:val="000000"/>
          <w:sz w:val="20"/>
          <w:szCs w:val="20"/>
        </w:rPr>
        <w:t xml:space="preserve"> </w:t>
      </w:r>
      <w:r w:rsidR="00535505" w:rsidRPr="00535505">
        <w:rPr>
          <w:i/>
          <w:iCs/>
          <w:color w:val="000000"/>
          <w:sz w:val="20"/>
          <w:szCs w:val="20"/>
        </w:rPr>
        <w:t>(Arial 10 pt, Italic)</w:t>
      </w:r>
    </w:p>
    <w:p w14:paraId="47FAD7E3" w14:textId="75035008" w:rsidR="00374A05" w:rsidRPr="00535505" w:rsidRDefault="00093323" w:rsidP="00093323">
      <w:pPr>
        <w:keepNext/>
        <w:pBdr>
          <w:left w:val="nil"/>
          <w:bottom w:val="nil"/>
          <w:right w:val="nil"/>
          <w:between w:val="nil"/>
        </w:pBdr>
        <w:spacing w:before="120" w:after="60"/>
        <w:ind w:left="556" w:firstLine="720"/>
        <w:jc w:val="center"/>
        <w:rPr>
          <w:b/>
          <w:bCs/>
          <w:color w:val="000000"/>
          <w:sz w:val="24"/>
          <w:szCs w:val="24"/>
        </w:rPr>
      </w:pPr>
      <w:r>
        <w:rPr>
          <w:b/>
          <w:bCs/>
          <w:color w:val="000000"/>
          <w:sz w:val="24"/>
          <w:szCs w:val="24"/>
        </w:rPr>
        <w:t>ABSTRACT</w:t>
      </w:r>
    </w:p>
    <w:p w14:paraId="306216D7" w14:textId="294E7348" w:rsidR="005A1B9E" w:rsidRPr="005A1B9E" w:rsidRDefault="005A1B9E" w:rsidP="000846C7">
      <w:pPr>
        <w:pBdr>
          <w:top w:val="nil"/>
          <w:left w:val="nil"/>
          <w:bottom w:val="nil"/>
          <w:right w:val="nil"/>
          <w:between w:val="nil"/>
        </w:pBdr>
        <w:spacing w:before="240" w:after="480"/>
        <w:ind w:left="1276" w:right="281" w:firstLine="0"/>
        <w:jc w:val="both"/>
        <w:rPr>
          <w:color w:val="000000"/>
        </w:rPr>
      </w:pPr>
      <w:r>
        <w:rPr>
          <w:i/>
          <w:iCs/>
          <w:noProof/>
          <w:color w:val="000000"/>
          <w:sz w:val="20"/>
          <w:szCs w:val="20"/>
          <w:lang w:val="en-US" w:eastAsia="en-US"/>
        </w:rPr>
        <mc:AlternateContent>
          <mc:Choice Requires="wps">
            <w:drawing>
              <wp:anchor distT="0" distB="0" distL="114300" distR="114300" simplePos="0" relativeHeight="251661312" behindDoc="0" locked="0" layoutInCell="1" allowOverlap="1" wp14:anchorId="4EA6C6A8" wp14:editId="75AACE8A">
                <wp:simplePos x="0" y="0"/>
                <wp:positionH relativeFrom="margin">
                  <wp:posOffset>755650</wp:posOffset>
                </wp:positionH>
                <wp:positionV relativeFrom="paragraph">
                  <wp:posOffset>44450</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ED8DE90" id="Straight Connector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59.5pt,3.5pt" to="44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17kvE9oAAAAHAQAADwAAAGRycy9kb3ducmV2LnhtbEyPQU/DMAyF70j8h8hIXBBLiwTrStMJ&#10;ITgg7cJAnL3GpBWNUzXZGv495gQn+/lZz5+bbfajOtEch8AGylUBirgLdmBn4P3t+boCFROyxTEw&#10;GfimCNv2/KzB2oaFX+m0T05JCMcaDfQpTbXWsevJY1yFiVi8zzB7TCJnp+2Mi4T7Ud8UxZ32OLBc&#10;6HGix566r/3RG+iyzlf9k3WLW7/YHcbqQ9/ujLm8yA/3oBLl9LcMv/iCDq0wHcKRbVSj6HIjvyQD&#10;ayniV5tSmoMBGeu20f/52x8AAAD//wMAUEsBAi0AFAAGAAgAAAAhALaDOJL+AAAA4QEAABMAAAAA&#10;AAAAAAAAAAAAAAAAAFtDb250ZW50X1R5cGVzXS54bWxQSwECLQAUAAYACAAAACEAOP0h/9YAAACU&#10;AQAACwAAAAAAAAAAAAAAAAAvAQAAX3JlbHMvLnJlbHNQSwECLQAUAAYACAAAACEAdlMBxJ0BAACM&#10;AwAADgAAAAAAAAAAAAAAAAAuAgAAZHJzL2Uyb0RvYy54bWxQSwECLQAUAAYACAAAACEA17kvE9oA&#10;AAAHAQAADwAAAAAAAAAAAAAAAAD3AwAAZHJzL2Rvd25yZXYueG1sUEsFBgAAAAAEAAQA8wAAAP4E&#10;AAAAAA==&#10;" strokecolor="black [3200]" strokeweight="2pt">
                <v:shadow on="t" color="black" opacity="24903f" origin=",.5" offset="0,.55556mm"/>
                <w10:wrap anchorx="margin"/>
              </v:line>
            </w:pict>
          </mc:Fallback>
        </mc:AlternateContent>
      </w:r>
      <w:r w:rsidR="000846C7">
        <w:rPr>
          <w:color w:val="000000"/>
        </w:rPr>
        <w:t xml:space="preserve">Inclusive </w:t>
      </w:r>
      <w:r w:rsidR="000846C7" w:rsidRPr="000846C7">
        <w:rPr>
          <w:color w:val="000000"/>
        </w:rPr>
        <w:t>English classrooms require teaching approaches that not only support linguistic development but also encourage students to critically engage with language, identity, and social realities. However, many English language teaching practices still prioritize grammatical competence and standardized outcomes, while critical language awareness remains insufficiently integrated into inclusive learning environments. This study aims to explore pedagogical strategies that can enhance students’ critical language awareness in inclusive English classrooms and examine how these strategies contribute to more participatory and reflective learning experiences. The study employed a qualitative descriptive approach through classroom observations, semi-structured interviews, and document analysis involving English teachers and students in inclusive classroom settings. The findings reveal that dialogic teaching, collaborative learning, reflective discussion, culturally responsive materials, and multimodal learning activities play significant roles in fostering students’ critical engagement with language use and social issues. These strategies also create a more supportive classroom atmosphere where students from diverse backgrounds feel encouraged to express opinions and participate actively in classroom interaction. In addition, the integration of inclusive pedagogical practices was found to strengthen students’ confidence, empathy, and awareness of linguistic diversity. The study concludes that enhancing critical language awareness in inclusive English classrooms requires pedagogical approaches that combine language instruction with critical reflection, inclusivity, and meaningful social interaction. Such approaches can contribute to the development of more equitable and socially responsive English language learning environments</w:t>
      </w:r>
      <w:r w:rsidR="000846C7">
        <w:rPr>
          <w:color w:val="000000"/>
        </w:rPr>
        <w:t>.</w:t>
      </w:r>
    </w:p>
    <w:p w14:paraId="0E7EAE7A" w14:textId="52524C60" w:rsidR="005A1B9E" w:rsidRDefault="005A1B9E" w:rsidP="000846C7">
      <w:pPr>
        <w:pBdr>
          <w:top w:val="nil"/>
          <w:left w:val="nil"/>
          <w:bottom w:val="nil"/>
          <w:right w:val="nil"/>
          <w:between w:val="nil"/>
        </w:pBdr>
        <w:spacing w:before="240" w:after="480"/>
        <w:ind w:left="1276" w:right="281" w:hanging="2"/>
        <w:jc w:val="both"/>
        <w:rPr>
          <w:color w:val="000000"/>
        </w:rPr>
        <w:sectPr w:rsidR="005A1B9E" w:rsidSect="000C48A9">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418" w:left="1418" w:header="709" w:footer="709" w:gutter="0"/>
          <w:pgNumType w:start="406"/>
          <w:cols w:space="720"/>
          <w:docGrid w:linePitch="299"/>
        </w:sectPr>
      </w:pPr>
      <w:r>
        <w:rPr>
          <w:i/>
          <w:iCs/>
          <w:noProof/>
          <w:color w:val="000000"/>
          <w:sz w:val="20"/>
          <w:szCs w:val="20"/>
          <w:lang w:val="en-US" w:eastAsia="en-US"/>
        </w:rPr>
        <mc:AlternateContent>
          <mc:Choice Requires="wps">
            <w:drawing>
              <wp:anchor distT="0" distB="0" distL="114300" distR="114300" simplePos="0" relativeHeight="251663360" behindDoc="0" locked="0" layoutInCell="1" allowOverlap="1" wp14:anchorId="54744AC9" wp14:editId="73D1AB05">
                <wp:simplePos x="0" y="0"/>
                <wp:positionH relativeFrom="margin">
                  <wp:posOffset>742950</wp:posOffset>
                </wp:positionH>
                <wp:positionV relativeFrom="paragraph">
                  <wp:posOffset>415290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7F4FDF4"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58.5pt,32.7pt" to="44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UmupVN0AAAAJAQAADwAAAGRycy9kb3ducmV2LnhtbEyPwU7DMBBE70j8g7VIXBB1itomhDgV&#10;QnBA6oWCOG9jY0fE6yh2G/P3LCd6nNnR7Jtmm/0gTmaKfSAFy0UBwlAXdE9Wwcf7y20FIiYkjUMg&#10;o+DHRNi2lxcN1jrM9GZO+2QFl1CsUYFLaayljJ0zHuMijIb49hUmj4nlZKWecOZyP8i7othIjz3x&#10;B4ejeXKm+94fvYIuy3zjnrWdbfmqdxirT7neKXV9lR8fQCST038Y/vAZHVpmOoQj6SgG1suStyQF&#10;m/UKBAeq6p6NAxvlCmTbyPMF7S8AAAD//wMAUEsBAi0AFAAGAAgAAAAhALaDOJL+AAAA4QEAABMA&#10;AAAAAAAAAAAAAAAAAAAAAFtDb250ZW50X1R5cGVzXS54bWxQSwECLQAUAAYACAAAACEAOP0h/9YA&#10;AACUAQAACwAAAAAAAAAAAAAAAAAvAQAAX3JlbHMvLnJlbHNQSwECLQAUAAYACAAAACEAdlMBxJ0B&#10;AACMAwAADgAAAAAAAAAAAAAAAAAuAgAAZHJzL2Uyb0RvYy54bWxQSwECLQAUAAYACAAAACEAUmup&#10;VN0AAAAJAQAADwAAAAAAAAAAAAAAAAD3AwAAZHJzL2Rvd25yZXYueG1sUEsFBgAAAAAEAAQA8wAA&#10;AAEFAAAAAA==&#10;" strokecolor="black [3200]" strokeweight="2pt">
                <v:shadow on="t" color="black" opacity="24903f" origin=",.5" offset="0,.55556mm"/>
                <w10:wrap anchorx="margin"/>
              </v:line>
            </w:pict>
          </mc:Fallback>
        </mc:AlternateContent>
      </w:r>
      <w:r>
        <w:rPr>
          <w:b/>
          <w:bCs/>
          <w:color w:val="000000"/>
        </w:rPr>
        <w:t>Keywords:</w:t>
      </w:r>
      <w:r>
        <w:rPr>
          <w:color w:val="000000"/>
        </w:rPr>
        <w:t xml:space="preserve"> </w:t>
      </w:r>
      <w:r w:rsidR="000846C7" w:rsidRPr="000846C7">
        <w:rPr>
          <w:color w:val="000000"/>
        </w:rPr>
        <w:t>critical language awareness, inclusive education, English classrooms, pedagogical strategies, reflective learning</w:t>
      </w:r>
      <w:r>
        <w:rPr>
          <w:color w:val="000000"/>
        </w:rPr>
        <w:t>.</w:t>
      </w:r>
    </w:p>
    <w:p w14:paraId="043318B8" w14:textId="77777777" w:rsidR="005A1B9E" w:rsidRDefault="005A1B9E" w:rsidP="005A1B9E">
      <w:pPr>
        <w:pBdr>
          <w:top w:val="nil"/>
          <w:left w:val="nil"/>
          <w:bottom w:val="nil"/>
          <w:right w:val="nil"/>
          <w:between w:val="nil"/>
        </w:pBdr>
        <w:spacing w:after="120" w:line="360" w:lineRule="auto"/>
        <w:ind w:firstLine="0"/>
        <w:jc w:val="both"/>
        <w:rPr>
          <w:b/>
          <w:bCs/>
          <w:color w:val="000000"/>
          <w:sz w:val="24"/>
          <w:szCs w:val="24"/>
          <w:lang w:val="en-ID"/>
        </w:rPr>
      </w:pPr>
    </w:p>
    <w:p w14:paraId="24129291" w14:textId="1B223972" w:rsidR="00535505" w:rsidRPr="00535505" w:rsidRDefault="00535505" w:rsidP="00093323">
      <w:pPr>
        <w:pBdr>
          <w:top w:val="nil"/>
          <w:left w:val="nil"/>
          <w:bottom w:val="nil"/>
          <w:right w:val="nil"/>
          <w:between w:val="nil"/>
        </w:pBdr>
        <w:spacing w:after="120" w:line="360" w:lineRule="auto"/>
        <w:ind w:firstLine="0"/>
        <w:jc w:val="both"/>
        <w:rPr>
          <w:b/>
          <w:bCs/>
          <w:color w:val="000000"/>
          <w:sz w:val="24"/>
          <w:szCs w:val="24"/>
          <w:lang w:val="en-ID"/>
        </w:rPr>
      </w:pPr>
      <w:r w:rsidRPr="00535505">
        <w:rPr>
          <w:b/>
          <w:bCs/>
          <w:color w:val="000000"/>
          <w:sz w:val="24"/>
          <w:szCs w:val="24"/>
          <w:lang w:val="en-ID"/>
        </w:rPr>
        <w:t>INTRODUCTION</w:t>
      </w:r>
      <w:r>
        <w:rPr>
          <w:b/>
          <w:bCs/>
          <w:color w:val="000000"/>
          <w:sz w:val="24"/>
          <w:szCs w:val="24"/>
          <w:lang w:val="en-ID"/>
        </w:rPr>
        <w:t xml:space="preserve"> </w:t>
      </w:r>
    </w:p>
    <w:p w14:paraId="367A4E79" w14:textId="77777777" w:rsidR="002A755F" w:rsidRPr="002A755F" w:rsidRDefault="002A755F" w:rsidP="002A755F">
      <w:pPr>
        <w:pBdr>
          <w:top w:val="nil"/>
          <w:left w:val="nil"/>
          <w:bottom w:val="nil"/>
          <w:right w:val="nil"/>
          <w:between w:val="nil"/>
        </w:pBdr>
        <w:spacing w:after="120" w:line="360" w:lineRule="auto"/>
        <w:ind w:firstLine="0"/>
        <w:jc w:val="both"/>
        <w:rPr>
          <w:color w:val="000000"/>
          <w:sz w:val="24"/>
          <w:szCs w:val="24"/>
          <w:lang w:val="en-US"/>
        </w:rPr>
      </w:pPr>
      <w:r w:rsidRPr="002A755F">
        <w:rPr>
          <w:color w:val="000000"/>
          <w:sz w:val="24"/>
          <w:szCs w:val="24"/>
          <w:lang w:val="en-US"/>
        </w:rPr>
        <w:t xml:space="preserve">The increasing diversity of learners in contemporary educational settings has encouraged educators to reconsider how English language teaching is designed and </w:t>
      </w:r>
      <w:r w:rsidRPr="002A755F">
        <w:rPr>
          <w:color w:val="000000"/>
          <w:sz w:val="24"/>
          <w:szCs w:val="24"/>
          <w:lang w:val="en-US"/>
        </w:rPr>
        <w:lastRenderedPageBreak/>
        <w:t>implemented. Inclusive education has emerged as a fundamental principle that seeks to ensure equal learning opportunities for all students regardless of their linguistic, cultural, social, or educational backgrounds. In English language classrooms, inclusivity extends beyond providing access to learning materials; it also involves creating environments where students are able to participate meaningfully, express their identities, and engage critically with language. As classrooms become increasingly heterogeneous, English teachers face the challenge of addressing diverse learning needs while fostering equitable participation and meaningful language development.</w:t>
      </w:r>
    </w:p>
    <w:p w14:paraId="0D214C8E"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Inclusive education is grounded in the principle that all learners should learn together whenever possible, regardless of differences in ability, culture, ethnicity, gender, language, or socioeconomic status (UNESCO, 2020). Within language education, inclusive practices emphasize learner diversity as a resource rather than a barrier to learning. According to Ainscow (2020), inclusion requires educational practices that actively remove barriers to participation and achievement. Similarly, Florian and Black-Hawkins (2011) argue that inclusive pedagogy focuses on extending learning opportunities to all students rather than differentiating instruction solely for specific groups of learners. Such perspectives highlight the importance of teaching approaches that recognize and value diversity within language classrooms.</w:t>
      </w:r>
    </w:p>
    <w:p w14:paraId="518299D5"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At the same time, language is increasingly understood not merely as a system of grammar and vocabulary but also as a social practice closely connected to power, ideology, identity, and culture. This perspective has led to growing interest in Critical Language Awareness (CLA), a concept originally developed by Fairclough (1992). Critical Language Awareness encourages learners to examine how language constructs social realities, reflects power relations, and influences individual and collective identities. Rather than viewing language learning as the acquisition of linguistic forms alone, CLA positions learners as critical users and analysts of language who can question underlying assumptions embedded within texts and discourses.</w:t>
      </w:r>
    </w:p>
    <w:p w14:paraId="1A546DB4"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 xml:space="preserve">The theoretical foundations of Critical Language Awareness are strongly influenced by critical pedagogy, particularly the work of Freire (1970), who emphasized the importance of developing learners’ critical consciousness through dialogue and reflection. Freire argued that education should empower learners to question social </w:t>
      </w:r>
      <w:r w:rsidRPr="002A755F">
        <w:rPr>
          <w:color w:val="000000"/>
          <w:sz w:val="24"/>
          <w:szCs w:val="24"/>
          <w:lang w:val="en-US"/>
        </w:rPr>
        <w:lastRenderedPageBreak/>
        <w:t>inequalities and become active participants in transforming society. Building on this perspective, Fairclough (1992) proposed that language education should help learners understand the relationship between language and power. When integrated into English language teaching, Critical Language Awareness enables students to explore how language choices shape meanings, represent social groups, and reinforce or challenge dominant ideologies.</w:t>
      </w:r>
    </w:p>
    <w:p w14:paraId="34014664"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Recent developments in English language teaching have increasingly recognized the value of integrating critical perspectives into classroom practices. Scholars such as Janks (2010) and Luke (2018) emphasize that language education should equip learners with the ability to critically interpret texts, identify ideological positions, and evaluate representations of social issues. In multilingual and multicultural contexts, these competencies become particularly important because students encounter diverse perspectives and discourses both inside and outside the classroom. Developing critical language awareness can therefore contribute not only to language proficiency but also to students’ social and civic engagement.</w:t>
      </w:r>
    </w:p>
    <w:p w14:paraId="2FF6466B"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Despite growing recognition of the importance of Critical Language Awareness, its implementation in English classrooms remains limited. Traditional language teaching approaches often prioritize grammatical accuracy, vocabulary acquisition, and standardized assessment outcomes (Richards, 2015). While these aspects are undoubtedly important, excessive emphasis on linguistic correctness may reduce opportunities for learners to critically examine how language functions in real-world contexts. Consequently, students may develop communicative competence without fully understanding the social and ideological dimensions of language use.</w:t>
      </w:r>
    </w:p>
    <w:p w14:paraId="15F8336B"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 xml:space="preserve">Several studies have demonstrated the educational benefits of integrating critical language awareness into language instruction. Research conducted by Godley and </w:t>
      </w:r>
      <w:proofErr w:type="spellStart"/>
      <w:r w:rsidRPr="002A755F">
        <w:rPr>
          <w:color w:val="000000"/>
          <w:sz w:val="24"/>
          <w:szCs w:val="24"/>
          <w:lang w:val="en-US"/>
        </w:rPr>
        <w:t>Minnici</w:t>
      </w:r>
      <w:proofErr w:type="spellEnd"/>
      <w:r w:rsidRPr="002A755F">
        <w:rPr>
          <w:color w:val="000000"/>
          <w:sz w:val="24"/>
          <w:szCs w:val="24"/>
          <w:lang w:val="en-US"/>
        </w:rPr>
        <w:t xml:space="preserve"> (2008) found that critical language pedagogy helped students develop more sophisticated understandings of language variation and linguistic diversity. Similarly, Sayer (2012) reported that critical language awareness activities enabled learners to challenge language-based prejudices and stereotypes. More recent studies have shown that critical engagement with texts and classroom discourse can enhance students’ analytical thinking, intercultural competence, and awareness of social justice issues (García, Johnson, &amp; Seltzer, 2017; Vinall, 2021).</w:t>
      </w:r>
    </w:p>
    <w:p w14:paraId="6DD93A5A"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lastRenderedPageBreak/>
        <w:t>Within inclusive classrooms, the relevance of Critical Language Awareness becomes even more significant. Inclusive learning environments bring together students with diverse linguistic backgrounds, cultural experiences, and social identities. Such diversity creates valuable opportunities for critical dialogue and collaborative meaning-making. According to Cummins (2021), educational practices that affirm students’ identities and linguistic resources contribute positively to both academic achievement and learner engagement. When students are encouraged to critically reflect on language and its social implications, they are more likely to appreciate diversity, challenge stereotypes, and develop empathy toward others.</w:t>
      </w:r>
    </w:p>
    <w:p w14:paraId="41A08E86"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The success of Critical Language Awareness instruction, however, depends largely on the pedagogical strategies employed by teachers. Research suggests that dialogic teaching, collaborative learning, reflective discussion, culturally responsive pedagogy, and multimodal learning activities can support the development of critical thinking and language awareness (Alexander, 2020; Gay, 2018; Mercer &amp; Dawes, 2014). Through these approaches, learners are provided with opportunities to share perspectives, negotiate meanings, and connect classroom learning with real-life experiences. Such pedagogical practices align closely with the principles of inclusive education because they encourage participation, respect diverse viewpoints, and promote equitable learning opportunities.</w:t>
      </w:r>
    </w:p>
    <w:p w14:paraId="47888006" w14:textId="0DC2C368"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Dialogic teaching, for example, emphasizes purposeful classroom talk that enables learners to construct knowledge collectively (Alexander, 2020). Through meaningful dialogue, students can examine multiple perspectives and critically evaluate language use in various contexts. Collaborative learning further strengthens these processes by encouraging peer interaction and shared problem-solving (Johnson &amp; Johnson, 20</w:t>
      </w:r>
      <w:r>
        <w:rPr>
          <w:color w:val="000000"/>
          <w:sz w:val="24"/>
          <w:szCs w:val="24"/>
          <w:lang w:val="en-US"/>
        </w:rPr>
        <w:t>09</w:t>
      </w:r>
      <w:r w:rsidRPr="002A755F">
        <w:rPr>
          <w:color w:val="000000"/>
          <w:sz w:val="24"/>
          <w:szCs w:val="24"/>
          <w:lang w:val="en-US"/>
        </w:rPr>
        <w:t>). Meanwhile, culturally responsive teaching acknowledges students’ cultural backgrounds and integrates them into the learning process, thereby fostering greater engagement and inclusion (Gay, 2018). These pedagogical approaches provide practical pathways for integrating Critical Language Awareness within inclusive English classrooms.</w:t>
      </w:r>
    </w:p>
    <w:p w14:paraId="5AA43BBF"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 xml:space="preserve">Although previous studies have explored Critical Language Awareness and inclusive pedagogy separately, research examining the intersection of these two areas remains relatively limited. Existing literature often focuses either on critical literacy </w:t>
      </w:r>
      <w:r w:rsidRPr="002A755F">
        <w:rPr>
          <w:color w:val="000000"/>
          <w:sz w:val="24"/>
          <w:szCs w:val="24"/>
          <w:lang w:val="en-US"/>
        </w:rPr>
        <w:lastRenderedPageBreak/>
        <w:t>practices or on inclusive educational strategies without sufficiently investigating how specific pedagogical approaches can simultaneously promote inclusivity and critical engagement with language. Consequently, there remains a need for studies that explore how teachers can effectively integrate Critical Language Awareness into inclusive English language teaching and how such practices influence students’ learning experiences.</w:t>
      </w:r>
    </w:p>
    <w:p w14:paraId="6994F8DC"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Based on these considerations, this study seeks to explore pedagogical strategies that enhance Critical Language Awareness in inclusive English classrooms. Specifically, the study aims to identify teaching practices that support students’ critical engagement with language and examine how these practices contribute to inclusive, participatory, and reflective learning environments. By addressing this issue, the study is expected to contribute to the growing body of knowledge on inclusive language education and provide practical insights for English teachers seeking to create more equitable and socially responsive classrooms.</w:t>
      </w:r>
    </w:p>
    <w:p w14:paraId="131BEE09"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The findings of this study are expected to offer both theoretical and practical significance. Theoretically, the study contributes to discussions concerning the integration of Critical Language Awareness and inclusive pedagogy within English language teaching. Practically, the findings may assist educators in designing instructional practices that promote critical reflection, linguistic diversity, and meaningful student participation. Ultimately, fostering Critical Language Awareness through inclusive pedagogical strategies may help prepare learners to become not only competent language users but also critical and socially responsible members of society.</w:t>
      </w:r>
    </w:p>
    <w:p w14:paraId="066FFCCE" w14:textId="77777777" w:rsidR="005A1B9E" w:rsidRPr="00535505" w:rsidRDefault="005A1B9E" w:rsidP="00DC5688">
      <w:pPr>
        <w:pBdr>
          <w:top w:val="nil"/>
          <w:left w:val="nil"/>
          <w:bottom w:val="nil"/>
          <w:right w:val="nil"/>
          <w:between w:val="nil"/>
        </w:pBdr>
        <w:spacing w:after="120" w:line="360" w:lineRule="auto"/>
        <w:ind w:firstLine="0"/>
        <w:jc w:val="both"/>
        <w:rPr>
          <w:b/>
          <w:bCs/>
          <w:color w:val="000000"/>
          <w:sz w:val="24"/>
          <w:szCs w:val="24"/>
          <w:lang w:val="en-ID"/>
        </w:rPr>
      </w:pPr>
    </w:p>
    <w:p w14:paraId="112519E2" w14:textId="0B028BAE" w:rsidR="00535505" w:rsidRPr="00535505" w:rsidRDefault="00535505" w:rsidP="00093323">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METHODS</w:t>
      </w:r>
      <w:r w:rsidR="0071505F">
        <w:rPr>
          <w:b/>
          <w:bCs/>
          <w:color w:val="000000"/>
          <w:sz w:val="24"/>
          <w:szCs w:val="24"/>
          <w:lang w:val="en-ID"/>
        </w:rPr>
        <w:t xml:space="preserve"> </w:t>
      </w:r>
    </w:p>
    <w:p w14:paraId="0BAD996C" w14:textId="11DFB9C3" w:rsidR="002A755F" w:rsidRPr="0071505F" w:rsidRDefault="002A755F" w:rsidP="002A755F">
      <w:pPr>
        <w:pBdr>
          <w:top w:val="nil"/>
          <w:left w:val="nil"/>
          <w:bottom w:val="nil"/>
          <w:right w:val="nil"/>
          <w:between w:val="nil"/>
        </w:pBdr>
        <w:spacing w:after="120" w:line="360" w:lineRule="auto"/>
        <w:ind w:hanging="2"/>
        <w:jc w:val="both"/>
        <w:rPr>
          <w:color w:val="000000"/>
          <w:sz w:val="24"/>
          <w:szCs w:val="24"/>
          <w:lang w:val="en-ID"/>
        </w:rPr>
      </w:pPr>
      <w:r w:rsidRPr="002A755F">
        <w:rPr>
          <w:color w:val="000000"/>
          <w:sz w:val="24"/>
          <w:szCs w:val="24"/>
        </w:rPr>
        <w:t xml:space="preserve">This study employed a qualitative descriptive research design to explore pedagogical strategies used by English teachers to enhance Critical Language Awareness (CLA) in inclusive English classrooms. A qualitative approach was selected because it allows researchers to gain a deeper understanding of classroom practices, participants’ experiences, and the meanings they attribute to educational phenomena (Creswell &amp; Poth, 2018). The study focused on examining how pedagogical strategies were </w:t>
      </w:r>
      <w:r w:rsidRPr="002A755F">
        <w:rPr>
          <w:color w:val="000000"/>
          <w:sz w:val="24"/>
          <w:szCs w:val="24"/>
        </w:rPr>
        <w:lastRenderedPageBreak/>
        <w:t>implemented in classroom contexts and how these strategies supported students’ critical engagement with language, identity, and social issues within inclusive learning environments.</w:t>
      </w:r>
    </w:p>
    <w:p w14:paraId="04282B56" w14:textId="77777777"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Participants</w:t>
      </w:r>
    </w:p>
    <w:p w14:paraId="5C36451C" w14:textId="77777777" w:rsidR="002A755F" w:rsidRPr="002A755F" w:rsidRDefault="002A755F" w:rsidP="002A755F">
      <w:pPr>
        <w:pBdr>
          <w:top w:val="nil"/>
          <w:left w:val="nil"/>
          <w:bottom w:val="nil"/>
          <w:right w:val="nil"/>
          <w:between w:val="nil"/>
        </w:pBdr>
        <w:spacing w:after="120" w:line="360" w:lineRule="auto"/>
        <w:ind w:hanging="2"/>
        <w:jc w:val="both"/>
        <w:rPr>
          <w:color w:val="000000"/>
          <w:sz w:val="24"/>
          <w:szCs w:val="24"/>
          <w:lang w:val="en-US"/>
        </w:rPr>
      </w:pPr>
      <w:r w:rsidRPr="002A755F">
        <w:rPr>
          <w:color w:val="000000"/>
          <w:sz w:val="24"/>
          <w:szCs w:val="24"/>
          <w:lang w:val="en-US"/>
        </w:rPr>
        <w:t>The participants of this study consisted of English teachers and students from inclusive secondary school classrooms. Purposive sampling was employed to select participants who had direct experience with inclusive English language teaching and learning practices. The selected teachers had experience teaching students from diverse linguistic, cultural, and educational backgrounds, while the students represented various levels of language proficiency and learning characteristics commonly found in inclusive classrooms.</w:t>
      </w:r>
    </w:p>
    <w:p w14:paraId="29062302"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A total of three English teachers and thirty students participated in the study. The teachers were chosen based on their experience in implementing student-centered and inclusive teaching practices. The student participants were selected to provide diverse perspectives regarding classroom interaction, participation, and learning experiences. Prior to data collection, informed consent was obtained from all participants, and ethical considerations regarding confidentiality and voluntary participation were strictly observed.</w:t>
      </w:r>
    </w:p>
    <w:p w14:paraId="141339B1" w14:textId="77777777"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Instruments</w:t>
      </w:r>
    </w:p>
    <w:p w14:paraId="569B0724" w14:textId="77777777" w:rsidR="002A755F" w:rsidRPr="002A755F" w:rsidRDefault="002A755F" w:rsidP="002A755F">
      <w:pPr>
        <w:pBdr>
          <w:top w:val="nil"/>
          <w:left w:val="nil"/>
          <w:bottom w:val="nil"/>
          <w:right w:val="nil"/>
          <w:between w:val="nil"/>
        </w:pBdr>
        <w:spacing w:after="120" w:line="360" w:lineRule="auto"/>
        <w:ind w:firstLine="0"/>
        <w:jc w:val="both"/>
        <w:rPr>
          <w:color w:val="000000"/>
          <w:sz w:val="24"/>
          <w:szCs w:val="24"/>
          <w:lang w:val="en-US"/>
        </w:rPr>
      </w:pPr>
      <w:r w:rsidRPr="002A755F">
        <w:rPr>
          <w:color w:val="000000"/>
          <w:sz w:val="24"/>
          <w:szCs w:val="24"/>
          <w:lang w:val="en-US"/>
        </w:rPr>
        <w:t>Data were collected using three primary instruments: classroom observations, semi-structured interviews, and document analysis. These instruments were selected to enable data triangulation and enhance the credibility of the findings (Merriam &amp; Tisdell, 2016).</w:t>
      </w:r>
    </w:p>
    <w:p w14:paraId="146DE4E5"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Classroom observation was conducted to examine teaching practices, teacher-student interactions, student participation, and classroom activities related to Critical Language Awareness. An observation protocol was developed to guide the recording of instructional strategies, classroom discourse, collaborative activities, and opportunities for critical reflection.</w:t>
      </w:r>
    </w:p>
    <w:p w14:paraId="56F2DF7C"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Semi-structured interviews were conducted with teachers and selected students to gain deeper insights into their perceptions and experiences regarding inclusive pedagogy and Critical Language Awareness. The interview guide consisted of open-</w:t>
      </w:r>
      <w:r w:rsidRPr="002A755F">
        <w:rPr>
          <w:color w:val="000000"/>
          <w:sz w:val="24"/>
          <w:szCs w:val="24"/>
          <w:lang w:val="en-US"/>
        </w:rPr>
        <w:lastRenderedPageBreak/>
        <w:t>ended questions that allowed participants to elaborate on their experiences while ensuring consistency across interviews.</w:t>
      </w:r>
    </w:p>
    <w:p w14:paraId="3E747E06"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Document analysis was also utilized to examine lesson plans, teaching materials, worksheets, and classroom assignments. These documents provided additional information regarding how critical language awareness and inclusive teaching principles were incorporated into instructional planning and classroom activities.</w:t>
      </w:r>
    </w:p>
    <w:p w14:paraId="4098FEA9" w14:textId="77777777"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Procedures</w:t>
      </w:r>
    </w:p>
    <w:p w14:paraId="7DA18ECA" w14:textId="77777777" w:rsidR="002A755F" w:rsidRPr="002A755F" w:rsidRDefault="002A755F" w:rsidP="002A755F">
      <w:pPr>
        <w:pBdr>
          <w:top w:val="nil"/>
          <w:left w:val="nil"/>
          <w:bottom w:val="nil"/>
          <w:right w:val="nil"/>
          <w:between w:val="nil"/>
        </w:pBdr>
        <w:spacing w:after="120" w:line="360" w:lineRule="auto"/>
        <w:ind w:firstLine="0"/>
        <w:jc w:val="both"/>
        <w:rPr>
          <w:color w:val="000000"/>
          <w:sz w:val="24"/>
          <w:szCs w:val="24"/>
          <w:lang w:val="en-US"/>
        </w:rPr>
      </w:pPr>
      <w:r w:rsidRPr="002A755F">
        <w:rPr>
          <w:color w:val="000000"/>
          <w:sz w:val="24"/>
          <w:szCs w:val="24"/>
          <w:lang w:val="en-US"/>
        </w:rPr>
        <w:t>The study was conducted over a period of three months. Data collection began with obtaining permission from the school administration and securing informed consent from participants. Following the preliminary stage, classroom observations were carried out during regular English lessons. Multiple observation sessions were conducted to capture a comprehensive understanding of teaching practices and classroom interactions.</w:t>
      </w:r>
    </w:p>
    <w:p w14:paraId="39EFCB2D"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After the observation phase, semi-structured interviews were conducted with the participating teachers and selected students. Each interview lasted approximately 30–45 minutes and was audio-recorded with participants’ permission. The interviews explored participants’ views on classroom activities, learning experiences, inclusivity, and opportunities for critical engagement with language.</w:t>
      </w:r>
    </w:p>
    <w:p w14:paraId="3F52577D"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Simultaneously, relevant instructional documents were collected and reviewed. These included lesson plans, teaching materials, assessment tasks, and students’ classroom assignments. The combination of observations, interviews, and document analysis enabled the researcher to obtain a comprehensive understanding of pedagogical practices implemented in inclusive English classrooms.</w:t>
      </w:r>
    </w:p>
    <w:p w14:paraId="486E7E8C" w14:textId="791F9923"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Data Analysis</w:t>
      </w:r>
      <w:r w:rsidR="0071505F">
        <w:rPr>
          <w:b/>
          <w:bCs/>
          <w:color w:val="000000"/>
          <w:sz w:val="24"/>
          <w:szCs w:val="24"/>
          <w:lang w:val="en-ID"/>
        </w:rPr>
        <w:tab/>
      </w:r>
    </w:p>
    <w:p w14:paraId="677BD263" w14:textId="77777777" w:rsidR="002A755F" w:rsidRPr="002A755F" w:rsidRDefault="002A755F" w:rsidP="002A755F">
      <w:pPr>
        <w:pBdr>
          <w:top w:val="nil"/>
          <w:left w:val="nil"/>
          <w:bottom w:val="nil"/>
          <w:right w:val="nil"/>
          <w:between w:val="nil"/>
        </w:pBdr>
        <w:spacing w:after="120" w:line="360" w:lineRule="auto"/>
        <w:ind w:firstLine="0"/>
        <w:jc w:val="both"/>
        <w:rPr>
          <w:color w:val="000000"/>
          <w:sz w:val="24"/>
          <w:szCs w:val="24"/>
          <w:lang w:val="en-US"/>
        </w:rPr>
      </w:pPr>
      <w:r w:rsidRPr="002A755F">
        <w:rPr>
          <w:color w:val="000000"/>
          <w:sz w:val="24"/>
          <w:szCs w:val="24"/>
          <w:lang w:val="en-US"/>
        </w:rPr>
        <w:t>The collected data were analyzed using thematic analysis following the procedures proposed by Braun and Clarke (2006). This method was chosen because it allows researchers to identify, analyze, and interpret recurring patterns within qualitative data.</w:t>
      </w:r>
    </w:p>
    <w:p w14:paraId="144308CB"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The analysis began with data familiarization through repeated reading of observation notes, interview transcripts, and instructional documents. Subsequently, initial codes were generated to identify significant features related to pedagogical strategies, critical language awareness, and inclusive classroom practices.</w:t>
      </w:r>
    </w:p>
    <w:p w14:paraId="6AB50BA4"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lastRenderedPageBreak/>
        <w:t>The coded data were then organized into broader categories and potential themes. These themes were reviewed, refined, and compared across different data sources to ensure consistency and credibility. Finally, the themes were interpreted in relation to the research objectives and existing literature on Critical Language Awareness and inclusive pedagogy.</w:t>
      </w:r>
    </w:p>
    <w:p w14:paraId="3E8C7FC0"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To enhance trustworthiness, the study employed data triangulation by comparing findings obtained from observations, interviews, and document analysis. Member checking was also conducted by sharing preliminary interpretations with selected participants to confirm the accuracy of the findings. These procedures helped ensure the credibility, dependability, and validity of the research results.</w:t>
      </w:r>
    </w:p>
    <w:p w14:paraId="6DE42C89" w14:textId="77777777" w:rsidR="002A755F" w:rsidRDefault="002A755F" w:rsidP="0071505F">
      <w:pPr>
        <w:pBdr>
          <w:top w:val="nil"/>
          <w:left w:val="nil"/>
          <w:bottom w:val="nil"/>
          <w:right w:val="nil"/>
          <w:between w:val="nil"/>
        </w:pBdr>
        <w:spacing w:after="120" w:line="360" w:lineRule="auto"/>
        <w:ind w:hanging="2"/>
        <w:jc w:val="both"/>
        <w:rPr>
          <w:b/>
          <w:bCs/>
          <w:color w:val="000000"/>
          <w:sz w:val="24"/>
          <w:szCs w:val="24"/>
          <w:lang w:val="en-ID"/>
        </w:rPr>
      </w:pPr>
    </w:p>
    <w:p w14:paraId="46D3AA64" w14:textId="4B68AB2E" w:rsidR="00535505" w:rsidRPr="00535505" w:rsidRDefault="00535505" w:rsidP="000846C7">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RESULTS AND DISCUSSION</w:t>
      </w:r>
      <w:r w:rsidR="0071505F">
        <w:rPr>
          <w:b/>
          <w:bCs/>
          <w:color w:val="000000"/>
          <w:sz w:val="24"/>
          <w:szCs w:val="24"/>
          <w:lang w:val="en-ID"/>
        </w:rPr>
        <w:t xml:space="preserve"> </w:t>
      </w:r>
    </w:p>
    <w:p w14:paraId="475A10D9" w14:textId="77777777" w:rsidR="002A755F" w:rsidRPr="002A755F" w:rsidRDefault="002A755F" w:rsidP="002A755F">
      <w:pPr>
        <w:pBdr>
          <w:top w:val="nil"/>
          <w:left w:val="nil"/>
          <w:bottom w:val="nil"/>
          <w:right w:val="nil"/>
          <w:between w:val="nil"/>
        </w:pBdr>
        <w:spacing w:after="120" w:line="360" w:lineRule="auto"/>
        <w:ind w:firstLine="0"/>
        <w:jc w:val="both"/>
        <w:rPr>
          <w:color w:val="000000"/>
          <w:sz w:val="24"/>
          <w:szCs w:val="24"/>
          <w:lang w:val="en-US"/>
        </w:rPr>
      </w:pPr>
      <w:r w:rsidRPr="002A755F">
        <w:rPr>
          <w:color w:val="000000"/>
          <w:sz w:val="24"/>
          <w:szCs w:val="24"/>
          <w:lang w:val="en-US"/>
        </w:rPr>
        <w:t>The findings of this study revealed that the development of Critical Language Awareness (CLA) in inclusive English classrooms was facilitated through several interconnected pedagogical strategies. Data obtained from classroom observations, interviews, and document analysis demonstrated that teachers intentionally created learning environments that encouraged students to critically engage with language, reflect on social issues, and participate actively in classroom interactions. Three major themes emerged from the analysis: the implementation of dialogic and collaborative learning, the use of culturally responsive and multimodal learning materials, and the promotion of inclusive participation through reflective classroom practices.</w:t>
      </w:r>
    </w:p>
    <w:p w14:paraId="65452EBE" w14:textId="77777777" w:rsidR="002A755F" w:rsidRPr="002A755F" w:rsidRDefault="002A755F" w:rsidP="002A755F">
      <w:pPr>
        <w:pBdr>
          <w:top w:val="nil"/>
          <w:left w:val="nil"/>
          <w:bottom w:val="nil"/>
          <w:right w:val="nil"/>
          <w:between w:val="nil"/>
        </w:pBdr>
        <w:spacing w:after="120" w:line="360" w:lineRule="auto"/>
        <w:ind w:firstLine="0"/>
        <w:jc w:val="both"/>
        <w:rPr>
          <w:b/>
          <w:bCs/>
          <w:color w:val="000000"/>
          <w:sz w:val="24"/>
          <w:szCs w:val="24"/>
          <w:lang w:val="en-US"/>
        </w:rPr>
      </w:pPr>
      <w:r w:rsidRPr="002A755F">
        <w:rPr>
          <w:b/>
          <w:bCs/>
          <w:color w:val="000000"/>
          <w:sz w:val="24"/>
          <w:szCs w:val="24"/>
          <w:lang w:val="en-US"/>
        </w:rPr>
        <w:t>Dialogic and Collaborative Learning as Foundations of Critical Language Awareness</w:t>
      </w:r>
    </w:p>
    <w:p w14:paraId="2A1F2E07" w14:textId="77777777" w:rsidR="002A755F" w:rsidRPr="002A755F" w:rsidRDefault="002A755F" w:rsidP="002A755F">
      <w:pPr>
        <w:pBdr>
          <w:top w:val="nil"/>
          <w:left w:val="nil"/>
          <w:bottom w:val="nil"/>
          <w:right w:val="nil"/>
          <w:between w:val="nil"/>
        </w:pBdr>
        <w:spacing w:after="120" w:line="360" w:lineRule="auto"/>
        <w:ind w:firstLine="0"/>
        <w:jc w:val="both"/>
        <w:rPr>
          <w:color w:val="000000"/>
          <w:sz w:val="24"/>
          <w:szCs w:val="24"/>
          <w:lang w:val="en-US"/>
        </w:rPr>
      </w:pPr>
      <w:r w:rsidRPr="002A755F">
        <w:rPr>
          <w:color w:val="000000"/>
          <w:sz w:val="24"/>
          <w:szCs w:val="24"/>
          <w:lang w:val="en-US"/>
        </w:rPr>
        <w:t>One of the most prominent findings of this study was the extensive use of dialogic teaching and collaborative learning activities. Classroom observations showed that teachers frequently organized discussions, group work, peer feedback sessions, and problem-solving activities that encouraged students to share opinions and negotiate meanings collectively. Rather than positioning themselves as the sole source of knowledge, teachers acted as facilitators who guided students to explore multiple perspectives on various social and linguistic issues.</w:t>
      </w:r>
    </w:p>
    <w:p w14:paraId="093597D1"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lastRenderedPageBreak/>
        <w:t>During classroom discussions, students were encouraged to analyze texts beyond their literal meanings. For example, when discussing media texts and social issues, teachers asked students to identify whose voices were represented, whose perspectives were absent, and how language choices influenced readers’ interpretations. Such activities encouraged students to critically examine language as a social practice rather than merely a collection of grammatical structures.</w:t>
      </w:r>
    </w:p>
    <w:p w14:paraId="680DD529"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Interview data further revealed that students perceived classroom discussions as opportunities to express ideas freely and learn from peers with different backgrounds and experiences. Several students reported that collaborative learning activities enabled them to understand alternative viewpoints and become more aware of linguistic diversity within the classroom. These findings suggest that dialogic interaction not only supports language learning but also contributes to the development of critical thinking and social awareness.</w:t>
      </w:r>
    </w:p>
    <w:p w14:paraId="75B7747C"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The findings support Alexander’s (2020) concept of dialogic teaching, which emphasizes the role of purposeful classroom dialogue in promoting deeper understanding and collaborative knowledge construction. Through dialogue, learners are exposed to diverse perspectives that challenge existing assumptions and stimulate critical reflection. Similarly, Mercer and Dawes (2014) argue that productive classroom talk provides opportunities for students to develop reasoning skills and engage in collective meaning-making.</w:t>
      </w:r>
    </w:p>
    <w:p w14:paraId="19FCBD26"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The results also align with Freire’s (1970) theory of critical pedagogy, which highlights dialogue as a central mechanism for developing critical consciousness. Freire argues that meaningful learning occurs when learners actively participate in questioning, reflecting, and constructing knowledge rather than passively receiving information. The observed classroom practices reflected this principle by encouraging students to become active participants in examining language and social realities.</w:t>
      </w:r>
    </w:p>
    <w:p w14:paraId="0FF11746"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 xml:space="preserve">Furthermore, the findings are consistent with previous studies that have demonstrated the effectiveness of collaborative and dialogic approaches in fostering critical language awareness. Godley and </w:t>
      </w:r>
      <w:proofErr w:type="spellStart"/>
      <w:r w:rsidRPr="002A755F">
        <w:rPr>
          <w:color w:val="000000"/>
          <w:sz w:val="24"/>
          <w:szCs w:val="24"/>
          <w:lang w:val="en-US"/>
        </w:rPr>
        <w:t>Minnici</w:t>
      </w:r>
      <w:proofErr w:type="spellEnd"/>
      <w:r w:rsidRPr="002A755F">
        <w:rPr>
          <w:color w:val="000000"/>
          <w:sz w:val="24"/>
          <w:szCs w:val="24"/>
          <w:lang w:val="en-US"/>
        </w:rPr>
        <w:t xml:space="preserve"> (2008) found that classroom discussions focused on language variation and social identity helped students critically examine linguistic norms and challenge language-based stereotypes. Similarly, Vinall </w:t>
      </w:r>
      <w:r w:rsidRPr="002A755F">
        <w:rPr>
          <w:color w:val="000000"/>
          <w:sz w:val="24"/>
          <w:szCs w:val="24"/>
          <w:lang w:val="en-US"/>
        </w:rPr>
        <w:lastRenderedPageBreak/>
        <w:t>(2021) reported that critical dialogue activities support learners’ ability to connect language learning with broader social and cultural issues.</w:t>
      </w:r>
    </w:p>
    <w:p w14:paraId="2F16A24F"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The findings indicate that dialogic and collaborative learning serve as important foundations for developing Critical Language Awareness because they create opportunities for students to critically engage with language, negotiate meanings, and appreciate diverse perspectives within inclusive classroom environments.</w:t>
      </w:r>
    </w:p>
    <w:p w14:paraId="125D8E4A" w14:textId="77777777" w:rsidR="002A755F" w:rsidRPr="002A755F" w:rsidRDefault="002A755F" w:rsidP="002A755F">
      <w:pPr>
        <w:pBdr>
          <w:top w:val="nil"/>
          <w:left w:val="nil"/>
          <w:bottom w:val="nil"/>
          <w:right w:val="nil"/>
          <w:between w:val="nil"/>
        </w:pBdr>
        <w:spacing w:after="120" w:line="360" w:lineRule="auto"/>
        <w:ind w:firstLine="0"/>
        <w:jc w:val="both"/>
        <w:rPr>
          <w:b/>
          <w:bCs/>
          <w:color w:val="000000"/>
          <w:sz w:val="24"/>
          <w:szCs w:val="24"/>
          <w:lang w:val="en-US"/>
        </w:rPr>
      </w:pPr>
      <w:r w:rsidRPr="002A755F">
        <w:rPr>
          <w:b/>
          <w:bCs/>
          <w:color w:val="000000"/>
          <w:sz w:val="24"/>
          <w:szCs w:val="24"/>
          <w:lang w:val="en-US"/>
        </w:rPr>
        <w:t>Culturally Responsive and Multimodal Learning Materials in Promoting Critical Engagement</w:t>
      </w:r>
    </w:p>
    <w:p w14:paraId="2A285B57"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A second major finding concerned the use of culturally responsive and multimodal learning materials. Document analysis revealed that teachers incorporated a variety of texts, including news articles, social media content, videos, advertisements, and narratives representing different cultural and social backgrounds. These materials were intentionally selected to reflect students’ diverse experiences and provide opportunities for critical discussion.</w:t>
      </w:r>
    </w:p>
    <w:p w14:paraId="6944E3C2"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Classroom observations showed that teachers frequently encouraged students to analyze how different groups were represented in texts and media. Students were invited to identify stereotypes, examine cultural assumptions, and discuss issues related to identity, equality, and diversity. In one observed lesson, students analyzed online advertisements and discussed how language and images were used to construct particular social meanings. Such activities enabled students to connect language learning with real-world contexts and social realities.</w:t>
      </w:r>
    </w:p>
    <w:p w14:paraId="12E26A70"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Interview responses suggested that students found these materials more engaging and relevant than traditional textbook exercises. Many participants reported that discussing authentic issues helped them understand how language operates in everyday life. Students also expressed greater interest in lessons that reflected their own cultural experiences and allowed them to compare perspectives from different communities.</w:t>
      </w:r>
    </w:p>
    <w:p w14:paraId="1319FFD1"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 xml:space="preserve">These findings support Gay’s (2018) theory of culturally responsive teaching, which emphasizes the importance of connecting instruction to students’ cultural backgrounds and lived experiences. According to Gay, culturally relevant learning materials increase student engagement while promoting respect for diversity. In </w:t>
      </w:r>
      <w:r w:rsidRPr="002A755F">
        <w:rPr>
          <w:color w:val="000000"/>
          <w:sz w:val="24"/>
          <w:szCs w:val="24"/>
          <w:lang w:val="en-US"/>
        </w:rPr>
        <w:lastRenderedPageBreak/>
        <w:t>inclusive classrooms, such materials can help learners feel represented and valued within the learning process.</w:t>
      </w:r>
    </w:p>
    <w:p w14:paraId="6777A015"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The findings also resonate with Cummins’ (2021) assertion that recognizing students’ linguistic and cultural identities contributes positively to academic engagement and educational success. By integrating culturally diverse content into classroom instruction, teachers created opportunities for students to draw upon their existing knowledge and experiences when interpreting texts and participating in discussions.</w:t>
      </w:r>
    </w:p>
    <w:p w14:paraId="73453771"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From the perspective of Critical Language Awareness, the use of authentic and culturally diverse materials aligns with Fairclough’s (1992) argument that learners should critically examine how language reflects and reproduces social relations. Through the analysis of media texts, advertisements, and social discourse, students became more aware of the ideological dimensions of language and the ways language can influence perceptions of social groups.</w:t>
      </w:r>
    </w:p>
    <w:p w14:paraId="416CE6E2"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The findings further corroborate previous research demonstrating the value of culturally responsive and critical literacy approaches in language education. Janks (2010) argues that critical literacy involves analyzing relationships among language, power, and identity, while García et al. (2017) emphasize the importance of leveraging learners’ linguistic and cultural resources in multilingual educational settings. The present findings suggest that culturally responsive and multimodal materials provide meaningful contexts for developing Critical Language Awareness while simultaneously supporting inclusive educational practices.</w:t>
      </w:r>
    </w:p>
    <w:p w14:paraId="09E23742" w14:textId="77777777" w:rsidR="002A755F" w:rsidRPr="002A755F" w:rsidRDefault="002A755F" w:rsidP="002A755F">
      <w:pPr>
        <w:pBdr>
          <w:top w:val="nil"/>
          <w:left w:val="nil"/>
          <w:bottom w:val="nil"/>
          <w:right w:val="nil"/>
          <w:between w:val="nil"/>
        </w:pBdr>
        <w:spacing w:after="120" w:line="360" w:lineRule="auto"/>
        <w:ind w:firstLine="0"/>
        <w:jc w:val="both"/>
        <w:rPr>
          <w:b/>
          <w:bCs/>
          <w:color w:val="000000"/>
          <w:sz w:val="24"/>
          <w:szCs w:val="24"/>
          <w:lang w:val="en-US"/>
        </w:rPr>
      </w:pPr>
      <w:r w:rsidRPr="002A755F">
        <w:rPr>
          <w:b/>
          <w:bCs/>
          <w:color w:val="000000"/>
          <w:sz w:val="24"/>
          <w:szCs w:val="24"/>
          <w:lang w:val="en-US"/>
        </w:rPr>
        <w:t>Reflective and Inclusive Classroom Practices Enhancing Participation and Social Awareness</w:t>
      </w:r>
    </w:p>
    <w:p w14:paraId="466E9992"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The third theme emerging from the data concerned reflective classroom practices that promoted inclusive participation and social awareness. Observations indicated that teachers consistently created opportunities for students to reflect on their learning experiences, evaluate their perspectives, and consider the viewpoints of others. Reflection activities were incorporated through learning journals, guided questioning, classroom discussions, and personal response tasks.</w:t>
      </w:r>
    </w:p>
    <w:p w14:paraId="1C065187"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lastRenderedPageBreak/>
        <w:t>One notable finding was that reflective activities encouraged participation among students who were generally less active during conventional classroom instruction. Several students reported feeling more comfortable expressing their opinions when reflection tasks allowed them to formulate ideas before sharing them with peers. Teachers also implemented strategies that ensured all students had opportunities to contribute, regardless of language proficiency levels or individual learning differences.</w:t>
      </w:r>
    </w:p>
    <w:p w14:paraId="39727991"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Interview data revealed that these practices fostered a stronger sense of belonging and inclusion within the classroom. Students described the classroom environment as supportive, respectful, and open to diverse opinions. Many participants indicated that they had become more aware of the experiences and perspectives of classmates from different backgrounds. This increased awareness appeared to contribute to the development of empathy and mutual respect among learners.</w:t>
      </w:r>
    </w:p>
    <w:p w14:paraId="77AE7B20"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These findings are consistent with Florian and Black-Hawkins’ (2011) concept of inclusive pedagogy, which emphasizes extending learning opportunities to all students rather than creating separate instructional pathways for different groups. The observed teaching practices reflected this principle by encouraging participation from all learners and recognizing diversity as a valuable resource for learning.</w:t>
      </w:r>
    </w:p>
    <w:p w14:paraId="7BB67774"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The findings also support UNESCO’s (2020) framework for inclusive education, which highlights participation, equity, and belonging as essential components of effective educational environments. Through reflective classroom activities, students were encouraged to engage critically with both language and social issues while developing a greater appreciation for diversity.</w:t>
      </w:r>
    </w:p>
    <w:p w14:paraId="22118EA9"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From the perspective of Critical Language Awareness, reflective practices play an essential role in helping learners connect language use with broader social contexts. Fairclough (1992) argues that critical awareness emerges when individuals examine the assumptions and ideologies embedded within discourse. The reflective activities observed in this study facilitated such examination by encouraging students to question perspectives, evaluate representations, and consider alternative viewpoints.</w:t>
      </w:r>
    </w:p>
    <w:p w14:paraId="169AA411" w14:textId="77777777" w:rsidR="002A755F" w:rsidRP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 xml:space="preserve">The findings are also supported by previous studies indicating that reflective learning promotes critical thinking, empathy, and social awareness. Sayer (2012) found that critical language awareness activities encourage learners to challenge </w:t>
      </w:r>
      <w:r w:rsidRPr="002A755F">
        <w:rPr>
          <w:color w:val="000000"/>
          <w:sz w:val="24"/>
          <w:szCs w:val="24"/>
          <w:lang w:val="en-US"/>
        </w:rPr>
        <w:lastRenderedPageBreak/>
        <w:t>linguistic prejudice and develop more inclusive attitudes toward language diversity. Similarly, Luke (2018) argues that critical literacy practices help learners become more informed and socially responsible participants in contemporary society.</w:t>
      </w:r>
    </w:p>
    <w:p w14:paraId="4C1817AA" w14:textId="48B69379" w:rsidR="00535505" w:rsidRDefault="002A755F" w:rsidP="002A755F">
      <w:pPr>
        <w:pBdr>
          <w:top w:val="nil"/>
          <w:left w:val="nil"/>
          <w:bottom w:val="nil"/>
          <w:right w:val="nil"/>
          <w:between w:val="nil"/>
        </w:pBdr>
        <w:spacing w:after="120" w:line="360" w:lineRule="auto"/>
        <w:ind w:firstLine="426"/>
        <w:jc w:val="both"/>
        <w:rPr>
          <w:color w:val="000000"/>
          <w:sz w:val="24"/>
          <w:szCs w:val="24"/>
          <w:lang w:val="en-US"/>
        </w:rPr>
      </w:pPr>
      <w:r w:rsidRPr="002A755F">
        <w:rPr>
          <w:color w:val="000000"/>
          <w:sz w:val="24"/>
          <w:szCs w:val="24"/>
          <w:lang w:val="en-US"/>
        </w:rPr>
        <w:t>Overall, the findings suggest that reflective and inclusive classroom practices contribute significantly to the development of Critical Language Awareness by creating opportunities for meaningful participation, critical reflection, and social engagement. These practices not only strengthen students’ understanding of language but also foster the development of empathy, confidence, and respect for diversity within inclusive learning environments.</w:t>
      </w:r>
    </w:p>
    <w:p w14:paraId="1F445264" w14:textId="77777777" w:rsidR="002A755F" w:rsidRDefault="002A755F" w:rsidP="002A755F">
      <w:pPr>
        <w:pBdr>
          <w:top w:val="nil"/>
          <w:left w:val="nil"/>
          <w:bottom w:val="nil"/>
          <w:right w:val="nil"/>
          <w:between w:val="nil"/>
        </w:pBdr>
        <w:spacing w:after="120" w:line="360" w:lineRule="auto"/>
        <w:ind w:firstLine="426"/>
        <w:jc w:val="both"/>
        <w:rPr>
          <w:color w:val="000000"/>
          <w:sz w:val="24"/>
          <w:szCs w:val="24"/>
          <w:lang w:val="en-US"/>
        </w:rPr>
      </w:pPr>
    </w:p>
    <w:p w14:paraId="5C4392DA" w14:textId="7630DBAE" w:rsidR="00535505" w:rsidRPr="00535505" w:rsidRDefault="00535505" w:rsidP="000846C7">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CONCLUSION</w:t>
      </w:r>
      <w:r w:rsidR="0071505F">
        <w:rPr>
          <w:b/>
          <w:bCs/>
          <w:color w:val="000000"/>
          <w:sz w:val="24"/>
          <w:szCs w:val="24"/>
          <w:lang w:val="en-ID"/>
        </w:rPr>
        <w:t xml:space="preserve"> </w:t>
      </w:r>
    </w:p>
    <w:p w14:paraId="6FBE7A91" w14:textId="3AFF41E6" w:rsidR="000846C7" w:rsidRPr="000846C7" w:rsidRDefault="000846C7" w:rsidP="000846C7">
      <w:pPr>
        <w:pBdr>
          <w:top w:val="nil"/>
          <w:left w:val="nil"/>
          <w:bottom w:val="nil"/>
          <w:right w:val="nil"/>
          <w:between w:val="nil"/>
        </w:pBdr>
        <w:spacing w:after="120" w:line="360" w:lineRule="auto"/>
        <w:ind w:firstLine="0"/>
        <w:jc w:val="both"/>
        <w:rPr>
          <w:color w:val="000000"/>
          <w:sz w:val="24"/>
          <w:szCs w:val="24"/>
          <w:lang w:val="en-US"/>
        </w:rPr>
      </w:pPr>
      <w:r w:rsidRPr="000846C7">
        <w:rPr>
          <w:color w:val="000000"/>
          <w:sz w:val="24"/>
          <w:szCs w:val="24"/>
        </w:rPr>
        <w:t>This study found that dialogic teaching, collaborative learning, culturally responsive materials, multimodal activities, and reflective classroom practices play important roles in enhancing Critical Language Awareness (CLA) in inclusive English classrooms. These pedagogical strategies encouraged students to critically engage with language, appreciate diverse perspectives, and participate more actively in the learning process. The findings suggest that integrating critical reflection with inclusive teaching practices can create more equitable and meaningful language learning experiences. Therefore, English teachers are encouraged to adopt pedagogical approaches that promote both language development and social awareness. Future research may involve broader educational contexts and larger participant groups to further examine the effectiveness of Critical Language Awareness in inclusive language education.</w:t>
      </w:r>
    </w:p>
    <w:p w14:paraId="27849034" w14:textId="77777777" w:rsidR="0071505F" w:rsidRDefault="0071505F" w:rsidP="00535505">
      <w:pPr>
        <w:pBdr>
          <w:top w:val="nil"/>
          <w:left w:val="nil"/>
          <w:bottom w:val="nil"/>
          <w:right w:val="nil"/>
          <w:between w:val="nil"/>
        </w:pBdr>
        <w:spacing w:after="120" w:line="360" w:lineRule="auto"/>
        <w:ind w:hanging="2"/>
        <w:jc w:val="both"/>
        <w:rPr>
          <w:b/>
          <w:bCs/>
          <w:color w:val="000000"/>
          <w:sz w:val="24"/>
          <w:szCs w:val="24"/>
          <w:lang w:val="en-ID"/>
        </w:rPr>
      </w:pPr>
    </w:p>
    <w:p w14:paraId="44C35E69" w14:textId="77777777" w:rsidR="000846C7" w:rsidRDefault="000846C7" w:rsidP="00535505">
      <w:pPr>
        <w:pBdr>
          <w:top w:val="nil"/>
          <w:left w:val="nil"/>
          <w:bottom w:val="nil"/>
          <w:right w:val="nil"/>
          <w:between w:val="nil"/>
        </w:pBdr>
        <w:spacing w:after="120" w:line="360" w:lineRule="auto"/>
        <w:ind w:hanging="2"/>
        <w:jc w:val="both"/>
        <w:rPr>
          <w:b/>
          <w:bCs/>
          <w:color w:val="000000"/>
          <w:sz w:val="24"/>
          <w:szCs w:val="24"/>
          <w:lang w:val="en-ID"/>
        </w:rPr>
      </w:pPr>
    </w:p>
    <w:p w14:paraId="1609C1FB" w14:textId="77777777" w:rsidR="000846C7" w:rsidRPr="00535505" w:rsidRDefault="000846C7" w:rsidP="00535505">
      <w:pPr>
        <w:pBdr>
          <w:top w:val="nil"/>
          <w:left w:val="nil"/>
          <w:bottom w:val="nil"/>
          <w:right w:val="nil"/>
          <w:between w:val="nil"/>
        </w:pBdr>
        <w:spacing w:after="120" w:line="360" w:lineRule="auto"/>
        <w:ind w:hanging="2"/>
        <w:jc w:val="both"/>
        <w:rPr>
          <w:b/>
          <w:bCs/>
          <w:color w:val="000000"/>
          <w:sz w:val="24"/>
          <w:szCs w:val="24"/>
          <w:lang w:val="en-ID"/>
        </w:rPr>
      </w:pPr>
    </w:p>
    <w:p w14:paraId="619D19CF" w14:textId="764748FC" w:rsidR="00535505" w:rsidRPr="00535505" w:rsidRDefault="00535505" w:rsidP="000846C7">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AUTHOR BIOGRAPHY</w:t>
      </w:r>
    </w:p>
    <w:p w14:paraId="18039D83" w14:textId="2BEB3037" w:rsidR="000846C7" w:rsidRDefault="000846C7" w:rsidP="000846C7">
      <w:pPr>
        <w:pBdr>
          <w:top w:val="nil"/>
          <w:left w:val="nil"/>
          <w:bottom w:val="nil"/>
          <w:right w:val="nil"/>
          <w:between w:val="nil"/>
        </w:pBdr>
        <w:spacing w:after="120" w:line="360" w:lineRule="auto"/>
        <w:ind w:hanging="2"/>
        <w:jc w:val="both"/>
        <w:rPr>
          <w:color w:val="000000"/>
          <w:sz w:val="24"/>
          <w:szCs w:val="24"/>
        </w:rPr>
      </w:pPr>
      <w:r w:rsidRPr="000846C7">
        <w:rPr>
          <w:color w:val="000000"/>
          <w:sz w:val="24"/>
          <w:szCs w:val="24"/>
        </w:rPr>
        <w:t xml:space="preserve">First Author is a student in </w:t>
      </w:r>
      <w:r>
        <w:rPr>
          <w:color w:val="000000"/>
          <w:sz w:val="24"/>
          <w:szCs w:val="24"/>
        </w:rPr>
        <w:t>..............................................................................</w:t>
      </w:r>
      <w:r w:rsidRPr="000846C7">
        <w:rPr>
          <w:color w:val="000000"/>
          <w:sz w:val="24"/>
          <w:szCs w:val="24"/>
        </w:rPr>
        <w:t>.</w:t>
      </w:r>
    </w:p>
    <w:p w14:paraId="542A4F5B" w14:textId="77777777" w:rsidR="0071505F" w:rsidRDefault="0071505F" w:rsidP="00F60806">
      <w:pPr>
        <w:pBdr>
          <w:top w:val="nil"/>
          <w:left w:val="nil"/>
          <w:bottom w:val="nil"/>
          <w:right w:val="nil"/>
          <w:between w:val="nil"/>
        </w:pBdr>
        <w:spacing w:after="120" w:line="360" w:lineRule="auto"/>
        <w:ind w:hanging="2"/>
        <w:jc w:val="both"/>
        <w:rPr>
          <w:b/>
          <w:bCs/>
          <w:color w:val="000000"/>
          <w:sz w:val="24"/>
          <w:szCs w:val="24"/>
        </w:rPr>
      </w:pPr>
    </w:p>
    <w:p w14:paraId="37FDA139" w14:textId="27E7C3B0" w:rsidR="0071505F" w:rsidRPr="0071505F" w:rsidRDefault="0071505F" w:rsidP="000846C7">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lang w:val="en-ID"/>
        </w:rPr>
        <w:t>ACKNOWLEDGEMENTS</w:t>
      </w:r>
      <w:r>
        <w:rPr>
          <w:b/>
          <w:bCs/>
          <w:color w:val="000000"/>
          <w:sz w:val="24"/>
          <w:szCs w:val="24"/>
          <w:lang w:val="en-ID"/>
        </w:rPr>
        <w:t xml:space="preserve"> </w:t>
      </w:r>
    </w:p>
    <w:p w14:paraId="756408A6" w14:textId="27C7D7BF" w:rsidR="000846C7" w:rsidRDefault="000846C7" w:rsidP="000846C7">
      <w:pPr>
        <w:pBdr>
          <w:top w:val="nil"/>
          <w:left w:val="nil"/>
          <w:bottom w:val="nil"/>
          <w:right w:val="nil"/>
          <w:between w:val="nil"/>
        </w:pBdr>
        <w:spacing w:after="120" w:line="360" w:lineRule="auto"/>
        <w:ind w:hanging="2"/>
        <w:jc w:val="both"/>
        <w:rPr>
          <w:color w:val="000000"/>
          <w:sz w:val="24"/>
          <w:szCs w:val="24"/>
        </w:rPr>
      </w:pPr>
      <w:r w:rsidRPr="000846C7">
        <w:rPr>
          <w:color w:val="000000"/>
          <w:sz w:val="24"/>
          <w:szCs w:val="24"/>
        </w:rPr>
        <w:lastRenderedPageBreak/>
        <w:t xml:space="preserve">The author would like to express sincere gratitude to the participating English teachers and students for their valuable contributions and cooperation throughout this study. Appreciation is also extended to the school administration for granting permission and facilitating the research process, as well as to the academic supervisors and lecturers whose guidance, constructive feedback, and continuous support greatly contributed to the completion of this manuscript. </w:t>
      </w:r>
    </w:p>
    <w:p w14:paraId="33CCDC0A" w14:textId="77777777" w:rsidR="00B856CD" w:rsidRPr="00B856CD" w:rsidRDefault="00B856CD" w:rsidP="00B856CD">
      <w:pPr>
        <w:pBdr>
          <w:top w:val="nil"/>
          <w:left w:val="nil"/>
          <w:bottom w:val="nil"/>
          <w:right w:val="nil"/>
          <w:between w:val="nil"/>
        </w:pBdr>
        <w:spacing w:after="120" w:line="360" w:lineRule="auto"/>
        <w:ind w:hanging="2"/>
        <w:jc w:val="both"/>
        <w:rPr>
          <w:color w:val="000000"/>
          <w:sz w:val="24"/>
          <w:szCs w:val="24"/>
          <w:lang w:val="en-ID"/>
        </w:rPr>
      </w:pPr>
    </w:p>
    <w:p w14:paraId="2305FFA1" w14:textId="11C93541" w:rsidR="0071505F" w:rsidRPr="0071505F" w:rsidRDefault="0071505F" w:rsidP="000846C7">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lang w:val="en-ID"/>
        </w:rPr>
        <w:t>REFERENCES</w:t>
      </w:r>
      <w:r>
        <w:rPr>
          <w:b/>
          <w:bCs/>
          <w:color w:val="000000"/>
          <w:sz w:val="24"/>
          <w:szCs w:val="24"/>
          <w:lang w:val="en-ID"/>
        </w:rPr>
        <w:t xml:space="preserve"> </w:t>
      </w:r>
    </w:p>
    <w:p w14:paraId="0F937739"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Ainscow, M. (2020). Promoting inclusion and equity in education: Lessons from international experiences. </w:t>
      </w:r>
      <w:r w:rsidRPr="002A755F">
        <w:rPr>
          <w:i/>
          <w:iCs/>
          <w:color w:val="222222"/>
          <w:sz w:val="24"/>
          <w:szCs w:val="24"/>
          <w:highlight w:val="white"/>
          <w:lang w:val="en-US"/>
        </w:rPr>
        <w:t>Nordic Journal of Studies in Educational Policy, 6</w:t>
      </w:r>
      <w:r w:rsidRPr="002A755F">
        <w:rPr>
          <w:color w:val="222222"/>
          <w:sz w:val="24"/>
          <w:szCs w:val="24"/>
          <w:highlight w:val="white"/>
          <w:lang w:val="en-US"/>
        </w:rPr>
        <w:t xml:space="preserve">(1), 7–16. </w:t>
      </w:r>
      <w:hyperlink r:id="rId17" w:tgtFrame="_new" w:history="1">
        <w:r w:rsidRPr="002A755F">
          <w:rPr>
            <w:rStyle w:val="Hyperlink"/>
            <w:sz w:val="24"/>
            <w:szCs w:val="24"/>
            <w:highlight w:val="white"/>
            <w:lang w:val="en-US"/>
          </w:rPr>
          <w:t>https://doi.org/10.1080/20020317.2020.1729587</w:t>
        </w:r>
      </w:hyperlink>
    </w:p>
    <w:p w14:paraId="27517E34"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Alexander, R. J. (2020). </w:t>
      </w:r>
      <w:r w:rsidRPr="002A755F">
        <w:rPr>
          <w:i/>
          <w:iCs/>
          <w:color w:val="222222"/>
          <w:sz w:val="24"/>
          <w:szCs w:val="24"/>
          <w:highlight w:val="white"/>
          <w:lang w:val="en-US"/>
        </w:rPr>
        <w:t>A dialogic teaching companion</w:t>
      </w:r>
      <w:r w:rsidRPr="002A755F">
        <w:rPr>
          <w:color w:val="222222"/>
          <w:sz w:val="24"/>
          <w:szCs w:val="24"/>
          <w:highlight w:val="white"/>
          <w:lang w:val="en-US"/>
        </w:rPr>
        <w:t xml:space="preserve">. Routledge. </w:t>
      </w:r>
      <w:hyperlink r:id="rId18" w:history="1">
        <w:r w:rsidRPr="002A755F">
          <w:rPr>
            <w:rStyle w:val="Hyperlink"/>
            <w:sz w:val="24"/>
            <w:szCs w:val="24"/>
            <w:highlight w:val="white"/>
            <w:lang w:val="en-US"/>
          </w:rPr>
          <w:t>https://doi.org/10.4324/9780429321261</w:t>
        </w:r>
      </w:hyperlink>
    </w:p>
    <w:p w14:paraId="0CC31C74"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Braun, V., &amp; Clarke, V. (2006). Using thematic analysis in psychology. </w:t>
      </w:r>
      <w:r w:rsidRPr="002A755F">
        <w:rPr>
          <w:i/>
          <w:iCs/>
          <w:color w:val="222222"/>
          <w:sz w:val="24"/>
          <w:szCs w:val="24"/>
          <w:highlight w:val="white"/>
          <w:lang w:val="en-US"/>
        </w:rPr>
        <w:t>Qualitative Research in Psychology, 3</w:t>
      </w:r>
      <w:r w:rsidRPr="002A755F">
        <w:rPr>
          <w:color w:val="222222"/>
          <w:sz w:val="24"/>
          <w:szCs w:val="24"/>
          <w:highlight w:val="white"/>
          <w:lang w:val="en-US"/>
        </w:rPr>
        <w:t xml:space="preserve">(2), 77–101. </w:t>
      </w:r>
      <w:hyperlink r:id="rId19" w:tgtFrame="_new" w:history="1">
        <w:r w:rsidRPr="002A755F">
          <w:rPr>
            <w:rStyle w:val="Hyperlink"/>
            <w:sz w:val="24"/>
            <w:szCs w:val="24"/>
            <w:highlight w:val="white"/>
            <w:lang w:val="en-US"/>
          </w:rPr>
          <w:t>https://doi.org/10.1191/1478088706qp063oa</w:t>
        </w:r>
      </w:hyperlink>
    </w:p>
    <w:p w14:paraId="34274F1B"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Creswell, J. W., &amp; Poth, C. N. (2018). </w:t>
      </w:r>
      <w:r w:rsidRPr="002A755F">
        <w:rPr>
          <w:i/>
          <w:iCs/>
          <w:color w:val="222222"/>
          <w:sz w:val="24"/>
          <w:szCs w:val="24"/>
          <w:highlight w:val="white"/>
          <w:lang w:val="en-US"/>
        </w:rPr>
        <w:t>Qualitative inquiry and research design: Choosing among five approaches</w:t>
      </w:r>
      <w:r w:rsidRPr="002A755F">
        <w:rPr>
          <w:color w:val="222222"/>
          <w:sz w:val="24"/>
          <w:szCs w:val="24"/>
          <w:highlight w:val="white"/>
          <w:lang w:val="en-US"/>
        </w:rPr>
        <w:t xml:space="preserve"> (4th ed.). Sage Publications.</w:t>
      </w:r>
    </w:p>
    <w:p w14:paraId="631284CA"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Cummins, J. (2021). </w:t>
      </w:r>
      <w:r w:rsidRPr="002A755F">
        <w:rPr>
          <w:i/>
          <w:iCs/>
          <w:color w:val="222222"/>
          <w:sz w:val="24"/>
          <w:szCs w:val="24"/>
          <w:highlight w:val="white"/>
          <w:lang w:val="en-US"/>
        </w:rPr>
        <w:t>Rethinking the education of multilingual learners: A critical analysis of theoretical concepts</w:t>
      </w:r>
      <w:r w:rsidRPr="002A755F">
        <w:rPr>
          <w:color w:val="222222"/>
          <w:sz w:val="24"/>
          <w:szCs w:val="24"/>
          <w:highlight w:val="white"/>
          <w:lang w:val="en-US"/>
        </w:rPr>
        <w:t xml:space="preserve">. Multilingual Matters. </w:t>
      </w:r>
      <w:hyperlink r:id="rId20" w:history="1">
        <w:r w:rsidRPr="002A755F">
          <w:rPr>
            <w:rStyle w:val="Hyperlink"/>
            <w:sz w:val="24"/>
            <w:szCs w:val="24"/>
            <w:highlight w:val="white"/>
            <w:lang w:val="en-US"/>
          </w:rPr>
          <w:t>https://doi.org/10.21832/CUMMIN8800</w:t>
        </w:r>
      </w:hyperlink>
    </w:p>
    <w:p w14:paraId="5517582F"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Fairclough, N. (1992). </w:t>
      </w:r>
      <w:r w:rsidRPr="002A755F">
        <w:rPr>
          <w:i/>
          <w:iCs/>
          <w:color w:val="222222"/>
          <w:sz w:val="24"/>
          <w:szCs w:val="24"/>
          <w:highlight w:val="white"/>
          <w:lang w:val="en-US"/>
        </w:rPr>
        <w:t>Critical language awareness</w:t>
      </w:r>
      <w:r w:rsidRPr="002A755F">
        <w:rPr>
          <w:color w:val="222222"/>
          <w:sz w:val="24"/>
          <w:szCs w:val="24"/>
          <w:highlight w:val="white"/>
          <w:lang w:val="en-US"/>
        </w:rPr>
        <w:t>. Longman.</w:t>
      </w:r>
    </w:p>
    <w:p w14:paraId="192EC771"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Florian, L., &amp; Black-Hawkins, K. (2011). Exploring inclusive pedagogy. </w:t>
      </w:r>
      <w:r w:rsidRPr="002A755F">
        <w:rPr>
          <w:i/>
          <w:iCs/>
          <w:color w:val="222222"/>
          <w:sz w:val="24"/>
          <w:szCs w:val="24"/>
          <w:highlight w:val="white"/>
          <w:lang w:val="en-US"/>
        </w:rPr>
        <w:t>British Educational Research Journal, 37</w:t>
      </w:r>
      <w:r w:rsidRPr="002A755F">
        <w:rPr>
          <w:color w:val="222222"/>
          <w:sz w:val="24"/>
          <w:szCs w:val="24"/>
          <w:highlight w:val="white"/>
          <w:lang w:val="en-US"/>
        </w:rPr>
        <w:t xml:space="preserve">(5), 813–828. </w:t>
      </w:r>
      <w:hyperlink r:id="rId21" w:history="1">
        <w:r w:rsidRPr="002A755F">
          <w:rPr>
            <w:rStyle w:val="Hyperlink"/>
            <w:sz w:val="24"/>
            <w:szCs w:val="24"/>
            <w:highlight w:val="white"/>
            <w:lang w:val="en-US"/>
          </w:rPr>
          <w:t>https://doi.org/10.1080/01411926.2010.501096</w:t>
        </w:r>
      </w:hyperlink>
    </w:p>
    <w:p w14:paraId="2273A745"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Freire, P. (1970). </w:t>
      </w:r>
      <w:r w:rsidRPr="002A755F">
        <w:rPr>
          <w:i/>
          <w:iCs/>
          <w:color w:val="222222"/>
          <w:sz w:val="24"/>
          <w:szCs w:val="24"/>
          <w:highlight w:val="white"/>
          <w:lang w:val="en-US"/>
        </w:rPr>
        <w:t>Pedagogy of the oppressed</w:t>
      </w:r>
      <w:r w:rsidRPr="002A755F">
        <w:rPr>
          <w:color w:val="222222"/>
          <w:sz w:val="24"/>
          <w:szCs w:val="24"/>
          <w:highlight w:val="white"/>
          <w:lang w:val="en-US"/>
        </w:rPr>
        <w:t>. Continuum.</w:t>
      </w:r>
    </w:p>
    <w:p w14:paraId="67AD94CD"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García, O., Johnson, S. I., &amp; Seltzer, K. (2017). </w:t>
      </w:r>
      <w:r w:rsidRPr="002A755F">
        <w:rPr>
          <w:i/>
          <w:iCs/>
          <w:color w:val="222222"/>
          <w:sz w:val="24"/>
          <w:szCs w:val="24"/>
          <w:highlight w:val="white"/>
          <w:lang w:val="en-US"/>
        </w:rPr>
        <w:t>The translanguaging classroom: Leveraging student bilingualism for learning</w:t>
      </w:r>
      <w:r w:rsidRPr="002A755F">
        <w:rPr>
          <w:color w:val="222222"/>
          <w:sz w:val="24"/>
          <w:szCs w:val="24"/>
          <w:highlight w:val="white"/>
          <w:lang w:val="en-US"/>
        </w:rPr>
        <w:t>. Caslon.</w:t>
      </w:r>
    </w:p>
    <w:p w14:paraId="6F5EDC1B"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Gay, G. (2018). </w:t>
      </w:r>
      <w:r w:rsidRPr="002A755F">
        <w:rPr>
          <w:i/>
          <w:iCs/>
          <w:color w:val="222222"/>
          <w:sz w:val="24"/>
          <w:szCs w:val="24"/>
          <w:highlight w:val="white"/>
          <w:lang w:val="en-US"/>
        </w:rPr>
        <w:t>Culturally responsive teaching: Theory, research, and practice</w:t>
      </w:r>
      <w:r w:rsidRPr="002A755F">
        <w:rPr>
          <w:color w:val="222222"/>
          <w:sz w:val="24"/>
          <w:szCs w:val="24"/>
          <w:highlight w:val="white"/>
          <w:lang w:val="en-US"/>
        </w:rPr>
        <w:t xml:space="preserve"> (3rd ed.). Teachers College Press.</w:t>
      </w:r>
    </w:p>
    <w:p w14:paraId="139D377B"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lastRenderedPageBreak/>
        <w:t xml:space="preserve">Godley, A. J., &amp; </w:t>
      </w:r>
      <w:proofErr w:type="spellStart"/>
      <w:r w:rsidRPr="002A755F">
        <w:rPr>
          <w:color w:val="222222"/>
          <w:sz w:val="24"/>
          <w:szCs w:val="24"/>
          <w:highlight w:val="white"/>
          <w:lang w:val="en-US"/>
        </w:rPr>
        <w:t>Minnici</w:t>
      </w:r>
      <w:proofErr w:type="spellEnd"/>
      <w:r w:rsidRPr="002A755F">
        <w:rPr>
          <w:color w:val="222222"/>
          <w:sz w:val="24"/>
          <w:szCs w:val="24"/>
          <w:highlight w:val="white"/>
          <w:lang w:val="en-US"/>
        </w:rPr>
        <w:t xml:space="preserve">, A. (2008). Critical language pedagogy in an urban high school English class. </w:t>
      </w:r>
      <w:r w:rsidRPr="002A755F">
        <w:rPr>
          <w:i/>
          <w:iCs/>
          <w:color w:val="222222"/>
          <w:sz w:val="24"/>
          <w:szCs w:val="24"/>
          <w:highlight w:val="white"/>
          <w:lang w:val="en-US"/>
        </w:rPr>
        <w:t>Urban Education, 43</w:t>
      </w:r>
      <w:r w:rsidRPr="002A755F">
        <w:rPr>
          <w:color w:val="222222"/>
          <w:sz w:val="24"/>
          <w:szCs w:val="24"/>
          <w:highlight w:val="white"/>
          <w:lang w:val="en-US"/>
        </w:rPr>
        <w:t xml:space="preserve">(3), 319–346. </w:t>
      </w:r>
      <w:hyperlink r:id="rId22" w:history="1">
        <w:r w:rsidRPr="002A755F">
          <w:rPr>
            <w:rStyle w:val="Hyperlink"/>
            <w:sz w:val="24"/>
            <w:szCs w:val="24"/>
            <w:highlight w:val="white"/>
            <w:lang w:val="en-US"/>
          </w:rPr>
          <w:t>https://doi.org/10.1177/0042085907311801</w:t>
        </w:r>
      </w:hyperlink>
    </w:p>
    <w:p w14:paraId="17314BC8"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Janks, H. (2010). </w:t>
      </w:r>
      <w:r w:rsidRPr="002A755F">
        <w:rPr>
          <w:i/>
          <w:iCs/>
          <w:color w:val="222222"/>
          <w:sz w:val="24"/>
          <w:szCs w:val="24"/>
          <w:highlight w:val="white"/>
          <w:lang w:val="en-US"/>
        </w:rPr>
        <w:t>Literacy and power</w:t>
      </w:r>
      <w:r w:rsidRPr="002A755F">
        <w:rPr>
          <w:color w:val="222222"/>
          <w:sz w:val="24"/>
          <w:szCs w:val="24"/>
          <w:highlight w:val="white"/>
          <w:lang w:val="en-US"/>
        </w:rPr>
        <w:t xml:space="preserve">. Routledge. </w:t>
      </w:r>
      <w:hyperlink r:id="rId23" w:history="1">
        <w:r w:rsidRPr="002A755F">
          <w:rPr>
            <w:rStyle w:val="Hyperlink"/>
            <w:sz w:val="24"/>
            <w:szCs w:val="24"/>
            <w:highlight w:val="white"/>
            <w:lang w:val="en-US"/>
          </w:rPr>
          <w:t>https://doi.org/10.4324/9780203869958</w:t>
        </w:r>
      </w:hyperlink>
    </w:p>
    <w:p w14:paraId="615AC46C" w14:textId="77777777" w:rsidR="000846C7" w:rsidRDefault="000846C7" w:rsidP="002A755F">
      <w:pPr>
        <w:pBdr>
          <w:top w:val="nil"/>
          <w:left w:val="nil"/>
          <w:bottom w:val="nil"/>
          <w:right w:val="nil"/>
          <w:between w:val="nil"/>
        </w:pBdr>
        <w:spacing w:after="120" w:line="360" w:lineRule="auto"/>
        <w:ind w:hanging="2"/>
        <w:jc w:val="both"/>
        <w:rPr>
          <w:color w:val="222222"/>
          <w:sz w:val="24"/>
          <w:szCs w:val="24"/>
          <w:highlight w:val="white"/>
        </w:rPr>
      </w:pPr>
      <w:r w:rsidRPr="002A755F">
        <w:rPr>
          <w:color w:val="222222"/>
          <w:sz w:val="24"/>
          <w:szCs w:val="24"/>
          <w:highlight w:val="white"/>
        </w:rPr>
        <w:t xml:space="preserve">Johnson, D. W., &amp; Johnson, R. T. (2009). </w:t>
      </w:r>
      <w:r w:rsidRPr="002A755F">
        <w:rPr>
          <w:i/>
          <w:iCs/>
          <w:color w:val="222222"/>
          <w:sz w:val="24"/>
          <w:szCs w:val="24"/>
          <w:highlight w:val="white"/>
        </w:rPr>
        <w:t>An educational psychology success story: Social interdependence theory and cooperative learning</w:t>
      </w:r>
      <w:r w:rsidRPr="002A755F">
        <w:rPr>
          <w:color w:val="222222"/>
          <w:sz w:val="24"/>
          <w:szCs w:val="24"/>
          <w:highlight w:val="white"/>
        </w:rPr>
        <w:t xml:space="preserve">. </w:t>
      </w:r>
      <w:r w:rsidRPr="002A755F">
        <w:rPr>
          <w:i/>
          <w:iCs/>
          <w:color w:val="222222"/>
          <w:sz w:val="24"/>
          <w:szCs w:val="24"/>
          <w:highlight w:val="white"/>
        </w:rPr>
        <w:t>Educational Researcher, 38</w:t>
      </w:r>
      <w:r w:rsidRPr="002A755F">
        <w:rPr>
          <w:color w:val="222222"/>
          <w:sz w:val="24"/>
          <w:szCs w:val="24"/>
          <w:highlight w:val="white"/>
        </w:rPr>
        <w:t xml:space="preserve">(5), 365–379. </w:t>
      </w:r>
      <w:hyperlink r:id="rId24" w:history="1">
        <w:r w:rsidRPr="0087377E">
          <w:rPr>
            <w:rStyle w:val="Hyperlink"/>
            <w:sz w:val="24"/>
            <w:szCs w:val="24"/>
            <w:highlight w:val="white"/>
          </w:rPr>
          <w:t>https://doi.org/10.3102/0013189X09339057</w:t>
        </w:r>
      </w:hyperlink>
    </w:p>
    <w:p w14:paraId="764B0CA5"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Luke, A. (2018). Critical literacy, schooling, and social justice. In J. Rowsell &amp; K. Pahl (Eds.), </w:t>
      </w:r>
      <w:r w:rsidRPr="002A755F">
        <w:rPr>
          <w:i/>
          <w:iCs/>
          <w:color w:val="222222"/>
          <w:sz w:val="24"/>
          <w:szCs w:val="24"/>
          <w:highlight w:val="white"/>
          <w:lang w:val="en-US"/>
        </w:rPr>
        <w:t>The Routledge handbook of literacy studies</w:t>
      </w:r>
      <w:r w:rsidRPr="002A755F">
        <w:rPr>
          <w:color w:val="222222"/>
          <w:sz w:val="24"/>
          <w:szCs w:val="24"/>
          <w:highlight w:val="white"/>
          <w:lang w:val="en-US"/>
        </w:rPr>
        <w:t xml:space="preserve"> (pp. 21–34). Routledge.</w:t>
      </w:r>
    </w:p>
    <w:p w14:paraId="383108F5"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Mercer, N., &amp; Dawes, L. (2014). The study of talk between teachers and students, from the 1970s until the 2010s. </w:t>
      </w:r>
      <w:r w:rsidRPr="002A755F">
        <w:rPr>
          <w:i/>
          <w:iCs/>
          <w:color w:val="222222"/>
          <w:sz w:val="24"/>
          <w:szCs w:val="24"/>
          <w:highlight w:val="white"/>
          <w:lang w:val="en-US"/>
        </w:rPr>
        <w:t>Oxford Review of Education, 40</w:t>
      </w:r>
      <w:r w:rsidRPr="002A755F">
        <w:rPr>
          <w:color w:val="222222"/>
          <w:sz w:val="24"/>
          <w:szCs w:val="24"/>
          <w:highlight w:val="white"/>
          <w:lang w:val="en-US"/>
        </w:rPr>
        <w:t xml:space="preserve">(4), 430–445. </w:t>
      </w:r>
      <w:hyperlink r:id="rId25" w:history="1">
        <w:r w:rsidRPr="002A755F">
          <w:rPr>
            <w:rStyle w:val="Hyperlink"/>
            <w:sz w:val="24"/>
            <w:szCs w:val="24"/>
            <w:highlight w:val="white"/>
            <w:lang w:val="en-US"/>
          </w:rPr>
          <w:t>https://doi.org/10.1080/03054985.2014.934087</w:t>
        </w:r>
      </w:hyperlink>
    </w:p>
    <w:p w14:paraId="1FED540A"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Merriam, S. B., &amp; Tisdell, E. J. (2016). </w:t>
      </w:r>
      <w:r w:rsidRPr="002A755F">
        <w:rPr>
          <w:i/>
          <w:iCs/>
          <w:color w:val="222222"/>
          <w:sz w:val="24"/>
          <w:szCs w:val="24"/>
          <w:highlight w:val="white"/>
          <w:lang w:val="en-US"/>
        </w:rPr>
        <w:t>Qualitative research: A guide to design and implementation</w:t>
      </w:r>
      <w:r w:rsidRPr="002A755F">
        <w:rPr>
          <w:color w:val="222222"/>
          <w:sz w:val="24"/>
          <w:szCs w:val="24"/>
          <w:highlight w:val="white"/>
          <w:lang w:val="en-US"/>
        </w:rPr>
        <w:t xml:space="preserve"> (4th ed.). Jossey-Bass.</w:t>
      </w:r>
    </w:p>
    <w:p w14:paraId="6EBDD886"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Richards, J. C. (2015). </w:t>
      </w:r>
      <w:r w:rsidRPr="002A755F">
        <w:rPr>
          <w:i/>
          <w:iCs/>
          <w:color w:val="222222"/>
          <w:sz w:val="24"/>
          <w:szCs w:val="24"/>
          <w:highlight w:val="white"/>
          <w:lang w:val="en-US"/>
        </w:rPr>
        <w:t>Key issues in language teaching</w:t>
      </w:r>
      <w:r w:rsidRPr="002A755F">
        <w:rPr>
          <w:color w:val="222222"/>
          <w:sz w:val="24"/>
          <w:szCs w:val="24"/>
          <w:highlight w:val="white"/>
          <w:lang w:val="en-US"/>
        </w:rPr>
        <w:t>. Cambridge University Press.</w:t>
      </w:r>
    </w:p>
    <w:p w14:paraId="0428852B"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Sayer, P. (2012). Ambiguities and tensions in critical language awareness. </w:t>
      </w:r>
      <w:r w:rsidRPr="002A755F">
        <w:rPr>
          <w:i/>
          <w:iCs/>
          <w:color w:val="222222"/>
          <w:sz w:val="24"/>
          <w:szCs w:val="24"/>
          <w:highlight w:val="white"/>
          <w:lang w:val="en-US"/>
        </w:rPr>
        <w:t>Language Awareness, 21</w:t>
      </w:r>
      <w:r w:rsidRPr="002A755F">
        <w:rPr>
          <w:color w:val="222222"/>
          <w:sz w:val="24"/>
          <w:szCs w:val="24"/>
          <w:highlight w:val="white"/>
          <w:lang w:val="en-US"/>
        </w:rPr>
        <w:t xml:space="preserve">(1–2), 41–51. </w:t>
      </w:r>
      <w:hyperlink r:id="rId26" w:history="1">
        <w:r w:rsidRPr="002A755F">
          <w:rPr>
            <w:rStyle w:val="Hyperlink"/>
            <w:sz w:val="24"/>
            <w:szCs w:val="24"/>
            <w:highlight w:val="white"/>
            <w:lang w:val="en-US"/>
          </w:rPr>
          <w:t>https://doi.org/10.1080/09658416.2011.639884</w:t>
        </w:r>
      </w:hyperlink>
    </w:p>
    <w:p w14:paraId="7B9A4720"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UNESCO. (2020). </w:t>
      </w:r>
      <w:r w:rsidRPr="002A755F">
        <w:rPr>
          <w:i/>
          <w:iCs/>
          <w:color w:val="222222"/>
          <w:sz w:val="24"/>
          <w:szCs w:val="24"/>
          <w:highlight w:val="white"/>
          <w:lang w:val="en-US"/>
        </w:rPr>
        <w:t>Global education monitoring report 2020: Inclusion and education—All means all</w:t>
      </w:r>
      <w:r w:rsidRPr="002A755F">
        <w:rPr>
          <w:color w:val="222222"/>
          <w:sz w:val="24"/>
          <w:szCs w:val="24"/>
          <w:highlight w:val="white"/>
          <w:lang w:val="en-US"/>
        </w:rPr>
        <w:t xml:space="preserve">. UNESCO Publishing. </w:t>
      </w:r>
      <w:hyperlink r:id="rId27" w:tgtFrame="_new" w:history="1">
        <w:r w:rsidRPr="002A755F">
          <w:rPr>
            <w:rStyle w:val="Hyperlink"/>
            <w:sz w:val="24"/>
            <w:szCs w:val="24"/>
            <w:highlight w:val="white"/>
            <w:lang w:val="en-US"/>
          </w:rPr>
          <w:t>https://unesdoc.unesco.org/</w:t>
        </w:r>
      </w:hyperlink>
    </w:p>
    <w:p w14:paraId="68A79A32" w14:textId="77777777" w:rsidR="000846C7" w:rsidRPr="002A755F" w:rsidRDefault="000846C7" w:rsidP="002A755F">
      <w:pPr>
        <w:pBdr>
          <w:top w:val="nil"/>
          <w:left w:val="nil"/>
          <w:bottom w:val="nil"/>
          <w:right w:val="nil"/>
          <w:between w:val="nil"/>
        </w:pBdr>
        <w:spacing w:after="120" w:line="360" w:lineRule="auto"/>
        <w:ind w:hanging="2"/>
        <w:jc w:val="both"/>
        <w:rPr>
          <w:color w:val="222222"/>
          <w:sz w:val="24"/>
          <w:szCs w:val="24"/>
          <w:highlight w:val="white"/>
          <w:lang w:val="en-US"/>
        </w:rPr>
      </w:pPr>
      <w:r w:rsidRPr="002A755F">
        <w:rPr>
          <w:color w:val="222222"/>
          <w:sz w:val="24"/>
          <w:szCs w:val="24"/>
          <w:highlight w:val="white"/>
          <w:lang w:val="en-US"/>
        </w:rPr>
        <w:t xml:space="preserve">Vinall, K. (2021). The promise of critical language awareness for language learners. </w:t>
      </w:r>
      <w:r w:rsidRPr="002A755F">
        <w:rPr>
          <w:i/>
          <w:iCs/>
          <w:color w:val="222222"/>
          <w:sz w:val="24"/>
          <w:szCs w:val="24"/>
          <w:highlight w:val="white"/>
          <w:lang w:val="en-US"/>
        </w:rPr>
        <w:t>Foreign Language Annals, 54</w:t>
      </w:r>
      <w:r w:rsidRPr="002A755F">
        <w:rPr>
          <w:color w:val="222222"/>
          <w:sz w:val="24"/>
          <w:szCs w:val="24"/>
          <w:highlight w:val="white"/>
          <w:lang w:val="en-US"/>
        </w:rPr>
        <w:t xml:space="preserve">(2), 286–305. </w:t>
      </w:r>
      <w:hyperlink r:id="rId28" w:history="1">
        <w:r w:rsidRPr="002A755F">
          <w:rPr>
            <w:rStyle w:val="Hyperlink"/>
            <w:sz w:val="24"/>
            <w:szCs w:val="24"/>
            <w:highlight w:val="white"/>
            <w:lang w:val="en-US"/>
          </w:rPr>
          <w:t>https://doi.org/10.1111/flan.12531</w:t>
        </w:r>
      </w:hyperlink>
    </w:p>
    <w:p w14:paraId="346439F4" w14:textId="2C890612" w:rsidR="00B856CD" w:rsidRDefault="00B856CD" w:rsidP="00F60806">
      <w:pPr>
        <w:pBdr>
          <w:top w:val="nil"/>
          <w:left w:val="nil"/>
          <w:bottom w:val="nil"/>
          <w:right w:val="nil"/>
          <w:between w:val="nil"/>
        </w:pBdr>
        <w:spacing w:after="120" w:line="360" w:lineRule="auto"/>
        <w:ind w:hanging="2"/>
        <w:jc w:val="both"/>
        <w:rPr>
          <w:color w:val="222222"/>
          <w:sz w:val="24"/>
          <w:szCs w:val="24"/>
        </w:rPr>
      </w:pPr>
    </w:p>
    <w:p w14:paraId="2C8AC201" w14:textId="14594DA2" w:rsidR="00B856CD" w:rsidRPr="00B856CD" w:rsidRDefault="00B856CD" w:rsidP="00F67708">
      <w:pPr>
        <w:pBdr>
          <w:top w:val="nil"/>
          <w:left w:val="nil"/>
          <w:bottom w:val="nil"/>
          <w:right w:val="nil"/>
          <w:between w:val="nil"/>
        </w:pBdr>
        <w:spacing w:after="120" w:line="360" w:lineRule="auto"/>
        <w:ind w:firstLine="0"/>
        <w:jc w:val="both"/>
        <w:rPr>
          <w:color w:val="000000"/>
          <w:sz w:val="24"/>
          <w:szCs w:val="24"/>
          <w:lang w:val="en-ID"/>
        </w:rPr>
      </w:pPr>
    </w:p>
    <w:p w14:paraId="632552CD" w14:textId="77777777" w:rsidR="00B856CD" w:rsidRDefault="00B856CD" w:rsidP="00F60806">
      <w:pPr>
        <w:pBdr>
          <w:top w:val="nil"/>
          <w:left w:val="nil"/>
          <w:bottom w:val="nil"/>
          <w:right w:val="nil"/>
          <w:between w:val="nil"/>
        </w:pBdr>
        <w:spacing w:after="120" w:line="360" w:lineRule="auto"/>
        <w:ind w:hanging="2"/>
        <w:jc w:val="both"/>
        <w:rPr>
          <w:color w:val="000000"/>
          <w:sz w:val="24"/>
          <w:szCs w:val="24"/>
        </w:rPr>
      </w:pPr>
    </w:p>
    <w:sectPr w:rsidR="00B856CD">
      <w:type w:val="continuous"/>
      <w:pgSz w:w="11906" w:h="16838"/>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5EC96" w14:textId="77777777" w:rsidR="003611DE" w:rsidRDefault="003611DE">
      <w:r>
        <w:separator/>
      </w:r>
    </w:p>
  </w:endnote>
  <w:endnote w:type="continuationSeparator" w:id="0">
    <w:p w14:paraId="5562DBF7" w14:textId="77777777" w:rsidR="003611DE" w:rsidRDefault="0036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4DE7B9B-8EE9-4B22-8A5B-B8C44E877AB1}"/>
  </w:font>
  <w:font w:name="Rockwell">
    <w:charset w:val="00"/>
    <w:family w:val="roman"/>
    <w:pitch w:val="variable"/>
    <w:sig w:usb0="00000003" w:usb1="00000000" w:usb2="00000000" w:usb3="00000000" w:csb0="00000001" w:csb1="00000000"/>
    <w:embedRegular r:id="rId2" w:fontKey="{433D0670-A32A-4CDF-B07B-1D502BB84FBF}"/>
    <w:embedBold r:id="rId3" w:fontKey="{CCFE33B0-7296-4D03-A8FC-E969C677F9D0}"/>
  </w:font>
  <w:font w:name="Calibri">
    <w:panose1 w:val="020F0502020204030204"/>
    <w:charset w:val="00"/>
    <w:family w:val="swiss"/>
    <w:pitch w:val="variable"/>
    <w:sig w:usb0="E4002EFF" w:usb1="C000247B" w:usb2="00000009" w:usb3="00000000" w:csb0="000001FF" w:csb1="00000000"/>
    <w:embedRegular r:id="rId4" w:fontKey="{ECC8A326-E037-44DA-A313-C7BF3066FBE5}"/>
  </w:font>
  <w:font w:name="Cambria">
    <w:panose1 w:val="02040503050406030204"/>
    <w:charset w:val="00"/>
    <w:family w:val="roman"/>
    <w:pitch w:val="variable"/>
    <w:sig w:usb0="E00006FF" w:usb1="420024FF" w:usb2="02000000" w:usb3="00000000" w:csb0="0000019F" w:csb1="00000000"/>
    <w:embedRegular r:id="rId5" w:fontKey="{97E38029-FA82-4A56-8C53-17BB512474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374A05" w:rsidRDefault="00DE454A">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DB39BB5" w:rsidR="00374A05" w:rsidRDefault="00DE454A">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426AEE08" w14:textId="39C23DBB" w:rsidR="00374A05" w:rsidRDefault="000C48A9" w:rsidP="000C48A9">
    <w:pPr>
      <w:pBdr>
        <w:top w:val="nil"/>
        <w:left w:val="nil"/>
        <w:bottom w:val="nil"/>
        <w:right w:val="nil"/>
        <w:between w:val="nil"/>
      </w:pBdr>
      <w:ind w:hanging="2"/>
      <w:jc w:val="center"/>
      <w:rPr>
        <w:color w:val="000000"/>
      </w:rPr>
    </w:pPr>
    <w:r w:rsidRPr="000C48A9">
      <w:rPr>
        <w:color w:val="000000"/>
      </w:rPr>
      <w:fldChar w:fldCharType="begin"/>
    </w:r>
    <w:r w:rsidRPr="000C48A9">
      <w:rPr>
        <w:color w:val="000000"/>
      </w:rPr>
      <w:instrText xml:space="preserve"> PAGE   \* MERGEFORMAT </w:instrText>
    </w:r>
    <w:r w:rsidRPr="000C48A9">
      <w:rPr>
        <w:color w:val="000000"/>
      </w:rPr>
      <w:fldChar w:fldCharType="separate"/>
    </w:r>
    <w:r w:rsidRPr="000C48A9">
      <w:rPr>
        <w:noProof/>
        <w:color w:val="000000"/>
      </w:rPr>
      <w:t>1</w:t>
    </w:r>
    <w:r w:rsidRPr="000C48A9">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374A05" w:rsidRDefault="00DE454A">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5FA9E98A" w:rsidR="00374A05" w:rsidRDefault="00DE454A">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3DC24" w14:textId="77777777" w:rsidR="003611DE" w:rsidRDefault="003611DE">
      <w:r>
        <w:separator/>
      </w:r>
    </w:p>
  </w:footnote>
  <w:footnote w:type="continuationSeparator" w:id="0">
    <w:p w14:paraId="25349DED" w14:textId="77777777" w:rsidR="003611DE" w:rsidRDefault="00361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374A05" w:rsidRDefault="00374A05">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66143" w14:textId="77777777" w:rsidR="000C48A9" w:rsidRDefault="000C48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1807128">
    <w:abstractNumId w:val="4"/>
  </w:num>
  <w:num w:numId="2" w16cid:durableId="981302397">
    <w:abstractNumId w:val="1"/>
  </w:num>
  <w:num w:numId="3" w16cid:durableId="576062553">
    <w:abstractNumId w:val="0"/>
  </w:num>
  <w:num w:numId="4" w16cid:durableId="1064716097">
    <w:abstractNumId w:val="2"/>
  </w:num>
  <w:num w:numId="5" w16cid:durableId="1000425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56B5B"/>
    <w:rsid w:val="00082162"/>
    <w:rsid w:val="000846C7"/>
    <w:rsid w:val="00093323"/>
    <w:rsid w:val="000C48A9"/>
    <w:rsid w:val="000E1E34"/>
    <w:rsid w:val="001A2778"/>
    <w:rsid w:val="002337F0"/>
    <w:rsid w:val="002A755F"/>
    <w:rsid w:val="003101BF"/>
    <w:rsid w:val="003611DE"/>
    <w:rsid w:val="00374A05"/>
    <w:rsid w:val="00535505"/>
    <w:rsid w:val="005604D4"/>
    <w:rsid w:val="005A1B9E"/>
    <w:rsid w:val="0071505F"/>
    <w:rsid w:val="007858BF"/>
    <w:rsid w:val="007B4A14"/>
    <w:rsid w:val="00AD3821"/>
    <w:rsid w:val="00B856CD"/>
    <w:rsid w:val="00D66615"/>
    <w:rsid w:val="00DC5688"/>
    <w:rsid w:val="00DE454A"/>
    <w:rsid w:val="00F60806"/>
    <w:rsid w:val="00F6770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customStyle="1" w:styleId="UnresolvedMention1">
    <w:name w:val="Unresolved Mention1"/>
    <w:basedOn w:val="DefaultParagraphFont"/>
    <w:uiPriority w:val="99"/>
    <w:semiHidden/>
    <w:unhideWhenUsed/>
    <w:rsid w:val="00535505"/>
    <w:rPr>
      <w:color w:val="605E5C"/>
      <w:shd w:val="clear" w:color="auto" w:fill="E1DFDD"/>
    </w:rPr>
  </w:style>
  <w:style w:type="paragraph" w:styleId="Header">
    <w:name w:val="header"/>
    <w:basedOn w:val="Normal"/>
    <w:link w:val="HeaderChar"/>
    <w:uiPriority w:val="99"/>
    <w:unhideWhenUsed/>
    <w:rsid w:val="000C48A9"/>
    <w:pPr>
      <w:tabs>
        <w:tab w:val="center" w:pos="4513"/>
        <w:tab w:val="right" w:pos="9026"/>
      </w:tabs>
    </w:pPr>
  </w:style>
  <w:style w:type="character" w:customStyle="1" w:styleId="HeaderChar">
    <w:name w:val="Header Char"/>
    <w:basedOn w:val="DefaultParagraphFont"/>
    <w:link w:val="Header"/>
    <w:uiPriority w:val="99"/>
    <w:rsid w:val="000C4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0951">
      <w:bodyDiv w:val="1"/>
      <w:marLeft w:val="0"/>
      <w:marRight w:val="0"/>
      <w:marTop w:val="0"/>
      <w:marBottom w:val="0"/>
      <w:divBdr>
        <w:top w:val="none" w:sz="0" w:space="0" w:color="auto"/>
        <w:left w:val="none" w:sz="0" w:space="0" w:color="auto"/>
        <w:bottom w:val="none" w:sz="0" w:space="0" w:color="auto"/>
        <w:right w:val="none" w:sz="0" w:space="0" w:color="auto"/>
      </w:divBdr>
    </w:div>
    <w:div w:id="412774740">
      <w:bodyDiv w:val="1"/>
      <w:marLeft w:val="0"/>
      <w:marRight w:val="0"/>
      <w:marTop w:val="0"/>
      <w:marBottom w:val="0"/>
      <w:divBdr>
        <w:top w:val="none" w:sz="0" w:space="0" w:color="auto"/>
        <w:left w:val="none" w:sz="0" w:space="0" w:color="auto"/>
        <w:bottom w:val="none" w:sz="0" w:space="0" w:color="auto"/>
        <w:right w:val="none" w:sz="0" w:space="0" w:color="auto"/>
      </w:divBdr>
    </w:div>
    <w:div w:id="575092826">
      <w:bodyDiv w:val="1"/>
      <w:marLeft w:val="0"/>
      <w:marRight w:val="0"/>
      <w:marTop w:val="0"/>
      <w:marBottom w:val="0"/>
      <w:divBdr>
        <w:top w:val="none" w:sz="0" w:space="0" w:color="auto"/>
        <w:left w:val="none" w:sz="0" w:space="0" w:color="auto"/>
        <w:bottom w:val="none" w:sz="0" w:space="0" w:color="auto"/>
        <w:right w:val="none" w:sz="0" w:space="0" w:color="auto"/>
      </w:divBdr>
    </w:div>
    <w:div w:id="727802176">
      <w:bodyDiv w:val="1"/>
      <w:marLeft w:val="0"/>
      <w:marRight w:val="0"/>
      <w:marTop w:val="0"/>
      <w:marBottom w:val="0"/>
      <w:divBdr>
        <w:top w:val="none" w:sz="0" w:space="0" w:color="auto"/>
        <w:left w:val="none" w:sz="0" w:space="0" w:color="auto"/>
        <w:bottom w:val="none" w:sz="0" w:space="0" w:color="auto"/>
        <w:right w:val="none" w:sz="0" w:space="0" w:color="auto"/>
      </w:divBdr>
    </w:div>
    <w:div w:id="878123656">
      <w:bodyDiv w:val="1"/>
      <w:marLeft w:val="0"/>
      <w:marRight w:val="0"/>
      <w:marTop w:val="0"/>
      <w:marBottom w:val="0"/>
      <w:divBdr>
        <w:top w:val="none" w:sz="0" w:space="0" w:color="auto"/>
        <w:left w:val="none" w:sz="0" w:space="0" w:color="auto"/>
        <w:bottom w:val="none" w:sz="0" w:space="0" w:color="auto"/>
        <w:right w:val="none" w:sz="0" w:space="0" w:color="auto"/>
      </w:divBdr>
    </w:div>
    <w:div w:id="964115444">
      <w:bodyDiv w:val="1"/>
      <w:marLeft w:val="0"/>
      <w:marRight w:val="0"/>
      <w:marTop w:val="0"/>
      <w:marBottom w:val="0"/>
      <w:divBdr>
        <w:top w:val="none" w:sz="0" w:space="0" w:color="auto"/>
        <w:left w:val="none" w:sz="0" w:space="0" w:color="auto"/>
        <w:bottom w:val="none" w:sz="0" w:space="0" w:color="auto"/>
        <w:right w:val="none" w:sz="0" w:space="0" w:color="auto"/>
      </w:divBdr>
    </w:div>
    <w:div w:id="1051199007">
      <w:bodyDiv w:val="1"/>
      <w:marLeft w:val="0"/>
      <w:marRight w:val="0"/>
      <w:marTop w:val="0"/>
      <w:marBottom w:val="0"/>
      <w:divBdr>
        <w:top w:val="none" w:sz="0" w:space="0" w:color="auto"/>
        <w:left w:val="none" w:sz="0" w:space="0" w:color="auto"/>
        <w:bottom w:val="none" w:sz="0" w:space="0" w:color="auto"/>
        <w:right w:val="none" w:sz="0" w:space="0" w:color="auto"/>
      </w:divBdr>
    </w:div>
    <w:div w:id="1115365554">
      <w:bodyDiv w:val="1"/>
      <w:marLeft w:val="0"/>
      <w:marRight w:val="0"/>
      <w:marTop w:val="0"/>
      <w:marBottom w:val="0"/>
      <w:divBdr>
        <w:top w:val="none" w:sz="0" w:space="0" w:color="auto"/>
        <w:left w:val="none" w:sz="0" w:space="0" w:color="auto"/>
        <w:bottom w:val="none" w:sz="0" w:space="0" w:color="auto"/>
        <w:right w:val="none" w:sz="0" w:space="0" w:color="auto"/>
      </w:divBdr>
    </w:div>
    <w:div w:id="1202090054">
      <w:bodyDiv w:val="1"/>
      <w:marLeft w:val="0"/>
      <w:marRight w:val="0"/>
      <w:marTop w:val="0"/>
      <w:marBottom w:val="0"/>
      <w:divBdr>
        <w:top w:val="none" w:sz="0" w:space="0" w:color="auto"/>
        <w:left w:val="none" w:sz="0" w:space="0" w:color="auto"/>
        <w:bottom w:val="none" w:sz="0" w:space="0" w:color="auto"/>
        <w:right w:val="none" w:sz="0" w:space="0" w:color="auto"/>
      </w:divBdr>
    </w:div>
    <w:div w:id="1314682528">
      <w:bodyDiv w:val="1"/>
      <w:marLeft w:val="0"/>
      <w:marRight w:val="0"/>
      <w:marTop w:val="0"/>
      <w:marBottom w:val="0"/>
      <w:divBdr>
        <w:top w:val="none" w:sz="0" w:space="0" w:color="auto"/>
        <w:left w:val="none" w:sz="0" w:space="0" w:color="auto"/>
        <w:bottom w:val="none" w:sz="0" w:space="0" w:color="auto"/>
        <w:right w:val="none" w:sz="0" w:space="0" w:color="auto"/>
      </w:divBdr>
    </w:div>
    <w:div w:id="1345475877">
      <w:bodyDiv w:val="1"/>
      <w:marLeft w:val="0"/>
      <w:marRight w:val="0"/>
      <w:marTop w:val="0"/>
      <w:marBottom w:val="0"/>
      <w:divBdr>
        <w:top w:val="none" w:sz="0" w:space="0" w:color="auto"/>
        <w:left w:val="none" w:sz="0" w:space="0" w:color="auto"/>
        <w:bottom w:val="none" w:sz="0" w:space="0" w:color="auto"/>
        <w:right w:val="none" w:sz="0" w:space="0" w:color="auto"/>
      </w:divBdr>
    </w:div>
    <w:div w:id="1547567134">
      <w:bodyDiv w:val="1"/>
      <w:marLeft w:val="0"/>
      <w:marRight w:val="0"/>
      <w:marTop w:val="0"/>
      <w:marBottom w:val="0"/>
      <w:divBdr>
        <w:top w:val="none" w:sz="0" w:space="0" w:color="auto"/>
        <w:left w:val="none" w:sz="0" w:space="0" w:color="auto"/>
        <w:bottom w:val="none" w:sz="0" w:space="0" w:color="auto"/>
        <w:right w:val="none" w:sz="0" w:space="0" w:color="auto"/>
      </w:divBdr>
    </w:div>
    <w:div w:id="1556086898">
      <w:bodyDiv w:val="1"/>
      <w:marLeft w:val="0"/>
      <w:marRight w:val="0"/>
      <w:marTop w:val="0"/>
      <w:marBottom w:val="0"/>
      <w:divBdr>
        <w:top w:val="none" w:sz="0" w:space="0" w:color="auto"/>
        <w:left w:val="none" w:sz="0" w:space="0" w:color="auto"/>
        <w:bottom w:val="none" w:sz="0" w:space="0" w:color="auto"/>
        <w:right w:val="none" w:sz="0" w:space="0" w:color="auto"/>
      </w:divBdr>
    </w:div>
    <w:div w:id="1590692710">
      <w:bodyDiv w:val="1"/>
      <w:marLeft w:val="0"/>
      <w:marRight w:val="0"/>
      <w:marTop w:val="0"/>
      <w:marBottom w:val="0"/>
      <w:divBdr>
        <w:top w:val="none" w:sz="0" w:space="0" w:color="auto"/>
        <w:left w:val="none" w:sz="0" w:space="0" w:color="auto"/>
        <w:bottom w:val="none" w:sz="0" w:space="0" w:color="auto"/>
        <w:right w:val="none" w:sz="0" w:space="0" w:color="auto"/>
      </w:divBdr>
    </w:div>
    <w:div w:id="1609115852">
      <w:bodyDiv w:val="1"/>
      <w:marLeft w:val="0"/>
      <w:marRight w:val="0"/>
      <w:marTop w:val="0"/>
      <w:marBottom w:val="0"/>
      <w:divBdr>
        <w:top w:val="none" w:sz="0" w:space="0" w:color="auto"/>
        <w:left w:val="none" w:sz="0" w:space="0" w:color="auto"/>
        <w:bottom w:val="none" w:sz="0" w:space="0" w:color="auto"/>
        <w:right w:val="none" w:sz="0" w:space="0" w:color="auto"/>
      </w:divBdr>
    </w:div>
    <w:div w:id="1625193292">
      <w:bodyDiv w:val="1"/>
      <w:marLeft w:val="0"/>
      <w:marRight w:val="0"/>
      <w:marTop w:val="0"/>
      <w:marBottom w:val="0"/>
      <w:divBdr>
        <w:top w:val="none" w:sz="0" w:space="0" w:color="auto"/>
        <w:left w:val="none" w:sz="0" w:space="0" w:color="auto"/>
        <w:bottom w:val="none" w:sz="0" w:space="0" w:color="auto"/>
        <w:right w:val="none" w:sz="0" w:space="0" w:color="auto"/>
      </w:divBdr>
    </w:div>
    <w:div w:id="1728265432">
      <w:bodyDiv w:val="1"/>
      <w:marLeft w:val="0"/>
      <w:marRight w:val="0"/>
      <w:marTop w:val="0"/>
      <w:marBottom w:val="0"/>
      <w:divBdr>
        <w:top w:val="none" w:sz="0" w:space="0" w:color="auto"/>
        <w:left w:val="none" w:sz="0" w:space="0" w:color="auto"/>
        <w:bottom w:val="none" w:sz="0" w:space="0" w:color="auto"/>
        <w:right w:val="none" w:sz="0" w:space="0" w:color="auto"/>
      </w:divBdr>
    </w:div>
    <w:div w:id="1751266376">
      <w:bodyDiv w:val="1"/>
      <w:marLeft w:val="0"/>
      <w:marRight w:val="0"/>
      <w:marTop w:val="0"/>
      <w:marBottom w:val="0"/>
      <w:divBdr>
        <w:top w:val="none" w:sz="0" w:space="0" w:color="auto"/>
        <w:left w:val="none" w:sz="0" w:space="0" w:color="auto"/>
        <w:bottom w:val="none" w:sz="0" w:space="0" w:color="auto"/>
        <w:right w:val="none" w:sz="0" w:space="0" w:color="auto"/>
      </w:divBdr>
    </w:div>
    <w:div w:id="1951158790">
      <w:bodyDiv w:val="1"/>
      <w:marLeft w:val="0"/>
      <w:marRight w:val="0"/>
      <w:marTop w:val="0"/>
      <w:marBottom w:val="0"/>
      <w:divBdr>
        <w:top w:val="none" w:sz="0" w:space="0" w:color="auto"/>
        <w:left w:val="none" w:sz="0" w:space="0" w:color="auto"/>
        <w:bottom w:val="none" w:sz="0" w:space="0" w:color="auto"/>
        <w:right w:val="none" w:sz="0" w:space="0" w:color="auto"/>
      </w:divBdr>
    </w:div>
    <w:div w:id="2072850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doi.org/10.4324/9780429321261" TargetMode="External"/><Relationship Id="rId26" Type="http://schemas.openxmlformats.org/officeDocument/2006/relationships/hyperlink" Target="https://doi.org/10.1080/09658416.2011.639884" TargetMode="External"/><Relationship Id="rId3" Type="http://schemas.openxmlformats.org/officeDocument/2006/relationships/numbering" Target="numbering.xml"/><Relationship Id="rId21" Type="http://schemas.openxmlformats.org/officeDocument/2006/relationships/hyperlink" Target="https://doi.org/10.1080/01411926.2010.501096"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doi.org/10.1080/20020317.2020.1729587" TargetMode="External"/><Relationship Id="rId25" Type="http://schemas.openxmlformats.org/officeDocument/2006/relationships/hyperlink" Target="https://doi.org/10.1080/03054985.2014.934087"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21832/CUMMIN88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3102/0013189X09339057"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oi.org/10.4324/9780203869958" TargetMode="External"/><Relationship Id="rId28" Type="http://schemas.openxmlformats.org/officeDocument/2006/relationships/hyperlink" Target="https://doi.org/10.1111/flan.12531" TargetMode="External"/><Relationship Id="rId10" Type="http://schemas.openxmlformats.org/officeDocument/2006/relationships/hyperlink" Target="mailto:example@gmail.com" TargetMode="External"/><Relationship Id="rId19" Type="http://schemas.openxmlformats.org/officeDocument/2006/relationships/hyperlink" Target="https://doi.org/10.1191/1478088706qp063oa"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https://doi.org/10.1177/0042085907311801" TargetMode="External"/><Relationship Id="rId27" Type="http://schemas.openxmlformats.org/officeDocument/2006/relationships/hyperlink" Target="https://unesdoc.unesco.org/"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8F8653-5856-4B39-9109-C26880062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15</Pages>
  <Words>5082</Words>
  <Characters>28970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dcterms:created xsi:type="dcterms:W3CDTF">2026-05-10T12:39:00Z</dcterms:created>
  <dcterms:modified xsi:type="dcterms:W3CDTF">2026-08-04T03:04:00Z</dcterms:modified>
</cp:coreProperties>
</file>