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8819B" w14:textId="77777777" w:rsidR="00000A72" w:rsidRDefault="00000000">
      <w:pPr>
        <w:spacing w:after="200"/>
        <w:ind w:firstLine="0"/>
        <w:rPr>
          <w:b/>
          <w:bCs/>
          <w:sz w:val="28"/>
          <w:szCs w:val="28"/>
        </w:rPr>
      </w:pPr>
      <w:r>
        <w:rPr>
          <w:b/>
          <w:bCs/>
          <w:sz w:val="28"/>
          <w:szCs w:val="28"/>
        </w:rPr>
        <w:t>The Effectiveness of Private Tutoring Compared to School-Only Task Completion in Teaching English Grammar and Vocabulary to Junior High School Students: A Quasi-Experimental Study at BSC Nganjuk</w:t>
      </w:r>
    </w:p>
    <w:p w14:paraId="06D4DCB4" w14:textId="77777777" w:rsidR="00000A72" w:rsidRDefault="00000000">
      <w:pPr>
        <w:ind w:hanging="2"/>
        <w:rPr>
          <w:sz w:val="20"/>
          <w:szCs w:val="20"/>
        </w:rPr>
      </w:pPr>
      <w:r>
        <w:rPr>
          <w:i/>
          <w:iCs/>
          <w:sz w:val="20"/>
          <w:szCs w:val="20"/>
        </w:rPr>
        <w:t>Sunniya Zulfata Binta Hurin 'In</w:t>
      </w:r>
    </w:p>
    <w:p w14:paraId="2F23956C" w14:textId="77777777" w:rsidR="00000A72" w:rsidRDefault="00000000">
      <w:pPr>
        <w:ind w:hanging="2"/>
        <w:rPr>
          <w:sz w:val="20"/>
          <w:szCs w:val="20"/>
        </w:rPr>
      </w:pPr>
      <w:r>
        <w:rPr>
          <w:i/>
          <w:iCs/>
          <w:sz w:val="20"/>
          <w:szCs w:val="20"/>
        </w:rPr>
        <w:t>1 Universitas Islam Kadiri, Indonesia</w:t>
      </w:r>
    </w:p>
    <w:p w14:paraId="03281446" w14:textId="77777777" w:rsidR="00000A72" w:rsidRDefault="00000000">
      <w:pPr>
        <w:spacing w:after="720"/>
        <w:ind w:hanging="2"/>
        <w:rPr>
          <w:sz w:val="20"/>
          <w:szCs w:val="20"/>
        </w:rPr>
      </w:pPr>
      <w:r>
        <w:rPr>
          <w:i/>
          <w:iCs/>
          <w:sz w:val="20"/>
          <w:szCs w:val="20"/>
        </w:rPr>
        <w:t>Corresponding author's e-mail: sunyazb@gmail.com</w:t>
      </w:r>
    </w:p>
    <w:p w14:paraId="339E7236" w14:textId="77777777" w:rsidR="00000A72" w:rsidRDefault="00000000">
      <w:pPr>
        <w:keepNext/>
        <w:spacing w:before="120" w:after="60"/>
        <w:ind w:left="556" w:firstLine="720"/>
        <w:jc w:val="center"/>
        <w:rPr>
          <w:b/>
          <w:bCs/>
          <w:color w:val="000000"/>
          <w:sz w:val="24"/>
          <w:szCs w:val="24"/>
        </w:rPr>
      </w:pPr>
      <w:r>
        <w:rPr>
          <w:b/>
          <w:bCs/>
          <w:color w:val="000000"/>
          <w:sz w:val="24"/>
          <w:szCs w:val="24"/>
        </w:rPr>
        <w:t>ABSTRACT</w:t>
      </w:r>
    </w:p>
    <w:p w14:paraId="60903E9C" w14:textId="77777777" w:rsidR="00000A72" w:rsidRDefault="00000000">
      <w:pPr>
        <w:spacing w:before="240" w:after="120"/>
        <w:ind w:left="1276" w:right="281" w:firstLine="0"/>
        <w:jc w:val="both"/>
        <w:rPr>
          <w:sz w:val="24"/>
          <w:szCs w:val="24"/>
        </w:rPr>
      </w:pPr>
      <w:r>
        <w:rPr>
          <w:i/>
          <w:iCs/>
          <w:noProof/>
          <w:color w:val="000000"/>
          <w:sz w:val="24"/>
          <w:szCs w:val="24"/>
        </w:rPr>
        <mc:AlternateContent>
          <mc:Choice Requires="wps">
            <w:drawing>
              <wp:anchor distT="0" distB="0" distL="114300" distR="114300" simplePos="0" relativeHeight="251659264" behindDoc="0" locked="0" layoutInCell="1" allowOverlap="1" wp14:anchorId="69FDA9A5" wp14:editId="4361FF13">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59.5pt;margin-top:3.5pt;height:1pt;width:386pt;mso-position-horizontal-relative:margin;z-index:251659264;mso-width-relative:page;mso-height-relative:page;" filled="f" stroked="t" coordsize="21600,21600" o:gfxdata="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91nDG2AAAAAcBAAAP&#10;AAAAAAAAAAEAIAAAACIAAABkcnMvZG93bnJldi54bWxQSwECFAAUAAAACACHTuJA9cT24xgCAABX&#10;BAAADgAAAAAAAAABACAAAAAnAQAAZHJzL2Uyb0RvYy54bWxQSwUGAAAAAAYABgBZAQAAsQUAAAAA&#10;">
                <v:fill on="f" focussize="0,0"/>
                <v:stroke weight="2pt" color="#000000 [3200]" joinstyle="round"/>
                <v:imagedata o:title=""/>
                <o:lock v:ext="edit" aspectratio="f"/>
                <v:shadow on="t" color="#000000" opacity="24903f" offset="0pt,1.5748031496063pt" origin="0f,32768f" matrix="65536f,0f,0f,65536f"/>
              </v:line>
            </w:pict>
          </mc:Fallback>
        </mc:AlternateContent>
      </w:r>
      <w:r>
        <w:rPr>
          <w:sz w:val="24"/>
          <w:szCs w:val="24"/>
        </w:rPr>
        <w:t>In Indonesia, private tutoring has been fast-growing as an additional method in English language teaching. However, there have been few studies on the effectiveness of tutoring programs versus just doing school assignments, especially in teaching English grammar and vocabulary to secondary school students. This study aims to investigate the effectiveness of a tutoring program at BSC (Binta Syukriyya Course), a private tutoring service in Nganjuk. The method used in this study is quantitative with a quasi-experimental pretest-posttest control group design. The study involved 20 junior high school students divided into two groups: an experimental group (n=10) who participated in a four-week tutoring program (three meetings per week) with an emphasis on English grammar and vocabulary, while the control group (n=10) only completed school assignments without support from the tutoring program. Data were collected through a pretest and posttest consisting of 25 multiple-choice questions (15 grammar questions and 10 vocabulary questions). The results showed that the experimental group experienced a statistically significant improvement, with mean scores increasing from 60 to 85, while the control group only increased from 60 to 65. These findings indicate that the tutoring program at BSC is more effective than only completing school assignments in teaching English grammar and vocabulary. The key factors supporting this effectiveness include consistent meeting frequency, individual attention, and direct feedback. This study recommends that private tutoring be integrated as a supplement to English language teaching in schools.</w:t>
      </w:r>
    </w:p>
    <w:p w14:paraId="18BED1F9" w14:textId="77777777" w:rsidR="00000A72" w:rsidRDefault="00000000">
      <w:pPr>
        <w:spacing w:after="480"/>
        <w:ind w:left="1276" w:right="281" w:hanging="2"/>
        <w:jc w:val="both"/>
        <w:rPr>
          <w:color w:val="000000"/>
        </w:rPr>
        <w:sectPr w:rsidR="00000A72" w:rsidSect="00C461AF">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418" w:header="709" w:footer="709" w:gutter="0"/>
          <w:pgNumType w:start="190"/>
          <w:cols w:space="720"/>
          <w:titlePg/>
          <w:docGrid w:linePitch="299"/>
        </w:sectPr>
      </w:pPr>
      <w:r>
        <w:rPr>
          <w:i/>
          <w:iCs/>
          <w:sz w:val="24"/>
          <w:szCs w:val="24"/>
        </w:rPr>
        <w:t>Keywords: effectiveness, private tutoring, grammar, vocabulary, quasi-experimental, BSC</w:t>
      </w:r>
      <w:r>
        <w:rPr>
          <w:i/>
          <w:iCs/>
          <w:noProof/>
          <w:color w:val="000000"/>
          <w:sz w:val="20"/>
          <w:szCs w:val="20"/>
        </w:rPr>
        <mc:AlternateContent>
          <mc:Choice Requires="wps">
            <w:drawing>
              <wp:anchor distT="0" distB="0" distL="114300" distR="114300" simplePos="0" relativeHeight="251660288" behindDoc="0" locked="0" layoutInCell="1" allowOverlap="1" wp14:anchorId="21835778" wp14:editId="46BF48B8">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58.5pt;margin-top:32.7pt;height:1pt;width:386pt;mso-position-horizontal-relative:margin;z-index:251660288;mso-width-relative:page;mso-height-relative:page;" filled="f" stroked="t" coordsize="21600,21600" o:gfxdata="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nlkzd2wAAAAkB&#10;AAAPAAAAAAAAAAEAIAAAACIAAABkcnMvZG93bnJldi54bWxQSwECFAAUAAAACACHTuJAjEwzmxgC&#10;AABXBAAADgAAAAAAAAABACAAAAAqAQAAZHJzL2Uyb0RvYy54bWxQSwUGAAAAAAYABgBZAQAAtAUA&#10;AAAA&#10;">
                <v:fill on="f" focussize="0,0"/>
                <v:stroke weight="2pt" color="#000000 [3200]" joinstyle="round"/>
                <v:imagedata o:title=""/>
                <o:lock v:ext="edit" aspectratio="f"/>
                <v:shadow on="t" color="#000000" opacity="24903f" offset="0pt,1.5748031496063pt" origin="0f,32768f" matrix="65536f,0f,0f,65536f"/>
              </v:line>
            </w:pict>
          </mc:Fallback>
        </mc:AlternateContent>
      </w:r>
    </w:p>
    <w:p w14:paraId="6B89F520" w14:textId="77777777" w:rsidR="00000A72" w:rsidRDefault="00000A72">
      <w:pPr>
        <w:spacing w:after="120" w:line="360" w:lineRule="auto"/>
        <w:ind w:firstLine="0"/>
        <w:jc w:val="both"/>
        <w:rPr>
          <w:b/>
          <w:bCs/>
          <w:color w:val="000000"/>
          <w:sz w:val="24"/>
          <w:szCs w:val="24"/>
          <w:lang w:val="zh-CN"/>
        </w:rPr>
      </w:pPr>
    </w:p>
    <w:p w14:paraId="268DCB41" w14:textId="32E910A5" w:rsidR="00000A72" w:rsidRDefault="00C461AF" w:rsidP="00C461AF">
      <w:pPr>
        <w:ind w:firstLine="0"/>
        <w:rPr>
          <w:b/>
          <w:bCs/>
          <w:color w:val="000000"/>
          <w:sz w:val="24"/>
          <w:szCs w:val="24"/>
          <w:lang w:val="zh-CN"/>
        </w:rPr>
      </w:pPr>
      <w:r>
        <w:rPr>
          <w:b/>
          <w:bCs/>
          <w:color w:val="000000"/>
          <w:sz w:val="24"/>
          <w:szCs w:val="24"/>
          <w:lang w:val="zh-CN"/>
        </w:rPr>
        <w:br w:type="page"/>
      </w:r>
      <w:r w:rsidR="00000000">
        <w:rPr>
          <w:b/>
          <w:bCs/>
          <w:color w:val="000000"/>
          <w:sz w:val="24"/>
          <w:szCs w:val="24"/>
          <w:lang w:val="zh-CN"/>
        </w:rPr>
        <w:lastRenderedPageBreak/>
        <w:t xml:space="preserve">INTRODUCTION </w:t>
      </w:r>
    </w:p>
    <w:p w14:paraId="28BB558E" w14:textId="77777777" w:rsidR="00000A72" w:rsidRDefault="00000000">
      <w:pPr>
        <w:spacing w:after="120" w:line="360" w:lineRule="auto"/>
        <w:ind w:hanging="2"/>
        <w:jc w:val="both"/>
        <w:rPr>
          <w:sz w:val="24"/>
          <w:szCs w:val="24"/>
        </w:rPr>
      </w:pPr>
      <w:r>
        <w:rPr>
          <w:sz w:val="24"/>
          <w:szCs w:val="24"/>
        </w:rPr>
        <w:t>The growing demand for English language proficiency in Indonesia has led to the rapid expansion of private tutoring services as a supplementary educational resource. Private tutoring, often referred to as shadow education, has become increasingly prevalent among secondary school students seeking to enhance academic performance beyond what is offered in formal school settings (Bray, 2009). In the context of English language learning, students commonly face challenges in mastering grammar and vocabulary, which are foundational components of communicative competence (Harmer, 2007).</w:t>
      </w:r>
    </w:p>
    <w:p w14:paraId="35CDF35E" w14:textId="77777777" w:rsidR="00000A72" w:rsidRDefault="00000000">
      <w:pPr>
        <w:spacing w:after="120" w:line="360" w:lineRule="auto"/>
        <w:ind w:firstLine="426"/>
        <w:jc w:val="both"/>
        <w:rPr>
          <w:sz w:val="24"/>
          <w:szCs w:val="24"/>
        </w:rPr>
      </w:pPr>
      <w:r>
        <w:rPr>
          <w:sz w:val="24"/>
          <w:szCs w:val="24"/>
        </w:rPr>
        <w:t>The phenomenon of private tutoring in Indonesia reflects a broader global trend in which students and parents invest significantly in out-of-school educational support (Bray &amp; Lykins, 2012). Despite this widespread practice, empirical research examining the comparative effectiveness of private tutoring versus school-only learning remains limited, particularly in Indonesian secondary education contexts (Zhang &amp; Bray, 2017). While some studies have explored tutoring outcomes in general academic subjects, few have specifically addressed English grammar and vocabulary development through structured quasi-experimental designs (Kim, 2007).</w:t>
      </w:r>
    </w:p>
    <w:p w14:paraId="38FE1B44" w14:textId="77777777" w:rsidR="00000A72" w:rsidRDefault="00000000">
      <w:pPr>
        <w:spacing w:after="120" w:line="360" w:lineRule="auto"/>
        <w:ind w:firstLine="426"/>
        <w:jc w:val="both"/>
        <w:rPr>
          <w:sz w:val="24"/>
          <w:szCs w:val="24"/>
        </w:rPr>
      </w:pPr>
      <w:r>
        <w:rPr>
          <w:sz w:val="24"/>
          <w:szCs w:val="24"/>
        </w:rPr>
        <w:t>Grammar and vocabulary are central to English language proficiency. Brown (2014) emphasizes that grammatical accuracy and lexical breadth are essential for effective communication, underpinning both receptive and productive language skills. Students who lack adequate grammar and vocabulary knowledge often struggle with reading comprehension, writing tasks, and spoken communication, thereby limiting overall English language development (Nation, 2001). Private tutoring centers, by providing structured and focused instruction, offer an environment potentially more conducive to targeted grammar and vocabulary improvement than general classroom instruction (Slavin, 1987).</w:t>
      </w:r>
    </w:p>
    <w:p w14:paraId="0768C970" w14:textId="77777777" w:rsidR="00000A72" w:rsidRDefault="00000000">
      <w:pPr>
        <w:spacing w:after="120" w:line="360" w:lineRule="auto"/>
        <w:ind w:firstLine="426"/>
        <w:jc w:val="both"/>
        <w:rPr>
          <w:sz w:val="24"/>
          <w:szCs w:val="24"/>
        </w:rPr>
      </w:pPr>
      <w:r>
        <w:rPr>
          <w:sz w:val="24"/>
          <w:szCs w:val="24"/>
        </w:rPr>
        <w:t xml:space="preserve">BSC (Binta Syukriyya Course) is a private tutoring service based in Nganjuk, East Java, Indonesia, providing English language instruction to junior high school students. The center employs structured lesson plans with a particular emphasis on English grammar and vocabulary, offering three sessions per week over a four-week program. Practitioner-research of this kind—where the instructor is also the researcher—aligns </w:t>
      </w:r>
      <w:r>
        <w:rPr>
          <w:sz w:val="24"/>
          <w:szCs w:val="24"/>
        </w:rPr>
        <w:lastRenderedPageBreak/>
        <w:t>with the tradition of classroom-based insider inquiry in second language education (Burns, 2010).</w:t>
      </w:r>
    </w:p>
    <w:p w14:paraId="5A0476F9" w14:textId="77777777" w:rsidR="00000A72" w:rsidRDefault="00000000">
      <w:pPr>
        <w:spacing w:after="120" w:line="360" w:lineRule="auto"/>
        <w:ind w:firstLine="426"/>
        <w:jc w:val="both"/>
        <w:rPr>
          <w:sz w:val="24"/>
          <w:szCs w:val="24"/>
        </w:rPr>
      </w:pPr>
      <w:r>
        <w:rPr>
          <w:sz w:val="24"/>
          <w:szCs w:val="24"/>
        </w:rPr>
        <w:t>This study aims to fill the existing research gap by empirically investigating whether participation in the BSC tutoring program leads to significantly greater improvements in English grammar and vocabulary scores compared to students who rely solely on completing school assignments. The findings are expected to contribute to both theoretical understanding and practical recommendations regarding the role of private tutoring in Indonesian English language education (Bray, 2014).</w:t>
      </w:r>
    </w:p>
    <w:p w14:paraId="78550B84" w14:textId="77777777" w:rsidR="00000A72" w:rsidRDefault="00000000">
      <w:pPr>
        <w:spacing w:before="120" w:after="60" w:line="360" w:lineRule="auto"/>
        <w:jc w:val="both"/>
        <w:rPr>
          <w:sz w:val="24"/>
          <w:szCs w:val="24"/>
        </w:rPr>
      </w:pPr>
      <w:r>
        <w:rPr>
          <w:b/>
          <w:bCs/>
          <w:sz w:val="24"/>
          <w:szCs w:val="24"/>
        </w:rPr>
        <w:t>Research Objectives</w:t>
      </w:r>
    </w:p>
    <w:p w14:paraId="71A7B7B8" w14:textId="77777777" w:rsidR="00000A72" w:rsidRDefault="00000000">
      <w:pPr>
        <w:spacing w:after="120" w:line="360" w:lineRule="auto"/>
        <w:ind w:hanging="2"/>
        <w:jc w:val="both"/>
        <w:rPr>
          <w:sz w:val="24"/>
          <w:szCs w:val="24"/>
        </w:rPr>
      </w:pPr>
      <w:r>
        <w:rPr>
          <w:sz w:val="24"/>
          <w:szCs w:val="24"/>
        </w:rPr>
        <w:t>The primary objective of this study is to determine the effectiveness of the BSC private tutoring program in improving English grammar and vocabulary among junior high school students. Specifically, the study seeks to: (1) measure the pre- and post-test scores of both groups (Creswell, 2014); (2) determine whether there is a statistically significant difference in improvement between the two groups; and (3) identify the key instructional factors contributing to the effectiveness of the tutoring program (Ellis, 2009).</w:t>
      </w:r>
    </w:p>
    <w:p w14:paraId="4A3FF5EB" w14:textId="77777777" w:rsidR="00000A72" w:rsidRDefault="00000000">
      <w:pPr>
        <w:spacing w:before="120" w:after="60" w:line="360" w:lineRule="auto"/>
        <w:jc w:val="both"/>
        <w:rPr>
          <w:sz w:val="24"/>
          <w:szCs w:val="24"/>
        </w:rPr>
      </w:pPr>
      <w:r>
        <w:rPr>
          <w:b/>
          <w:bCs/>
          <w:sz w:val="24"/>
          <w:szCs w:val="24"/>
        </w:rPr>
        <w:t>Significance of the Study</w:t>
      </w:r>
    </w:p>
    <w:p w14:paraId="12CA1DC1" w14:textId="77777777" w:rsidR="00000A72" w:rsidRDefault="00000000">
      <w:pPr>
        <w:spacing w:after="120" w:line="360" w:lineRule="auto"/>
        <w:ind w:hanging="2"/>
        <w:jc w:val="both"/>
        <w:rPr>
          <w:sz w:val="24"/>
          <w:szCs w:val="24"/>
        </w:rPr>
      </w:pPr>
      <w:r>
        <w:rPr>
          <w:sz w:val="24"/>
          <w:szCs w:val="24"/>
        </w:rPr>
        <w:t>This study is significant for several reasons. First, it provides empirical evidence regarding the comparative effectiveness of private tutoring as an educational supplement in Indonesian contexts, contributing to the growing literature on shadow education in Asia (Bray, 2014; Zhang &amp; Bray, 2017). Second, it offers practical insights for English language teachers and educational policymakers regarding the potential benefits of integrating structured tutoring programs into students' learning experiences (Richards &amp; Rodgers, 2014). Third, it contributes to understanding how supplementary education interacts with formal schooling to shape student outcomes in Southeast Asian educational contexts (Bray &amp; Lykins, 2012).</w:t>
      </w:r>
    </w:p>
    <w:p w14:paraId="6EE41F5F" w14:textId="77777777" w:rsidR="00000A72" w:rsidRDefault="00000A72">
      <w:pPr>
        <w:spacing w:after="120" w:line="360" w:lineRule="auto"/>
        <w:ind w:firstLine="0"/>
        <w:jc w:val="both"/>
        <w:rPr>
          <w:b/>
          <w:bCs/>
          <w:color w:val="000000"/>
          <w:sz w:val="24"/>
          <w:szCs w:val="24"/>
          <w:lang w:val="zh-CN"/>
        </w:rPr>
      </w:pPr>
    </w:p>
    <w:p w14:paraId="40946A6F" w14:textId="77777777" w:rsidR="00000A72" w:rsidRDefault="00000000">
      <w:pPr>
        <w:spacing w:after="120" w:line="360" w:lineRule="auto"/>
        <w:ind w:hanging="2"/>
        <w:jc w:val="both"/>
        <w:rPr>
          <w:b/>
          <w:bCs/>
          <w:color w:val="000000"/>
          <w:sz w:val="24"/>
          <w:szCs w:val="24"/>
          <w:lang w:val="zh-CN"/>
        </w:rPr>
      </w:pPr>
      <w:r>
        <w:rPr>
          <w:b/>
          <w:bCs/>
          <w:color w:val="000000"/>
          <w:sz w:val="24"/>
          <w:szCs w:val="24"/>
          <w:lang w:val="zh-CN"/>
        </w:rPr>
        <w:t xml:space="preserve">METHODS </w:t>
      </w:r>
    </w:p>
    <w:p w14:paraId="18C405F5" w14:textId="77777777" w:rsidR="00000A72" w:rsidRDefault="00000000">
      <w:pPr>
        <w:spacing w:after="120" w:line="360" w:lineRule="auto"/>
        <w:ind w:hanging="2"/>
        <w:jc w:val="both"/>
        <w:rPr>
          <w:sz w:val="24"/>
          <w:szCs w:val="24"/>
        </w:rPr>
      </w:pPr>
      <w:r>
        <w:rPr>
          <w:sz w:val="24"/>
          <w:szCs w:val="24"/>
        </w:rPr>
        <w:t xml:space="preserve">This study employed a quantitative approach using a quasi-experimental pretest-posttest control group design. This design was selected because it allows the researcher to examine the effect of a specific treatment on learning outcomes while </w:t>
      </w:r>
      <w:r>
        <w:rPr>
          <w:sz w:val="24"/>
          <w:szCs w:val="24"/>
        </w:rPr>
        <w:lastRenderedPageBreak/>
        <w:t>controlling for pre-existing differences between groups (Creswell, 2014). As random assignment was not feasible in this naturalistic educational setting, the quasi-experimental design was the most appropriate methodological choice (Cohen et al., 2018).</w:t>
      </w:r>
    </w:p>
    <w:p w14:paraId="3325557B" w14:textId="77777777" w:rsidR="00000A72" w:rsidRDefault="00000000">
      <w:pPr>
        <w:spacing w:before="120" w:after="60" w:line="360" w:lineRule="auto"/>
        <w:jc w:val="both"/>
        <w:rPr>
          <w:sz w:val="24"/>
          <w:szCs w:val="24"/>
        </w:rPr>
      </w:pPr>
      <w:r>
        <w:rPr>
          <w:b/>
          <w:bCs/>
          <w:sz w:val="24"/>
          <w:szCs w:val="24"/>
        </w:rPr>
        <w:t>Participants</w:t>
      </w:r>
    </w:p>
    <w:p w14:paraId="3A4D227B" w14:textId="77777777" w:rsidR="00000A72" w:rsidRDefault="00000000">
      <w:pPr>
        <w:spacing w:after="120" w:line="360" w:lineRule="auto"/>
        <w:ind w:hanging="2"/>
        <w:jc w:val="both"/>
        <w:rPr>
          <w:sz w:val="24"/>
          <w:szCs w:val="24"/>
        </w:rPr>
      </w:pPr>
      <w:r>
        <w:rPr>
          <w:sz w:val="24"/>
          <w:szCs w:val="24"/>
        </w:rPr>
        <w:t>The participants of this study were 20 junior high school students enrolled at BSC Nganjuk. Purposive sampling was used to select participants with comparable initial English proficiency levels (Creswell, 2014). The students were divided into two groups of ten: an experimental group and a control group. The experimental group attended the BSC tutoring program for four weeks with three sessions per week, while the control group continued with regular school assignments without supplementary tutoring. Both groups were matched based on pretest scores to ensure initial equivalence (Cohen et al., 2018). Participants were in the seventh or eighth grade, aged 12 to 14 years.</w:t>
      </w:r>
    </w:p>
    <w:p w14:paraId="3C309782" w14:textId="77777777" w:rsidR="00000A72" w:rsidRDefault="00000000">
      <w:pPr>
        <w:spacing w:before="120" w:after="60" w:line="360" w:lineRule="auto"/>
        <w:jc w:val="both"/>
        <w:rPr>
          <w:sz w:val="24"/>
          <w:szCs w:val="24"/>
        </w:rPr>
      </w:pPr>
      <w:r>
        <w:rPr>
          <w:b/>
          <w:bCs/>
          <w:sz w:val="24"/>
          <w:szCs w:val="24"/>
        </w:rPr>
        <w:t>Instruments</w:t>
      </w:r>
    </w:p>
    <w:p w14:paraId="2F31335D" w14:textId="77777777" w:rsidR="00000A72" w:rsidRDefault="00000000">
      <w:pPr>
        <w:spacing w:after="120" w:line="360" w:lineRule="auto"/>
        <w:ind w:hanging="2"/>
        <w:jc w:val="both"/>
        <w:rPr>
          <w:sz w:val="24"/>
          <w:szCs w:val="24"/>
        </w:rPr>
      </w:pPr>
      <w:r>
        <w:rPr>
          <w:sz w:val="24"/>
          <w:szCs w:val="24"/>
        </w:rPr>
        <w:t>The primary data collection instrument was a 25-item multiple-choice test measuring students' English grammar and vocabulary knowledge. The test consisted of 15 grammar items and 10 vocabulary items, aligned with the junior high school English curriculum. Grammar items focused on tenses, sentence structure, and parts of speech, while vocabulary items targeted word meaning, contextual usage, and word formation. The test was administered as both a pretest and a posttest. Content validity was established through alignment with curriculum guidelines and peer review by English language educators, consistent with best practices in instrument development (Brown, 2004; Hughes, 2003).</w:t>
      </w:r>
    </w:p>
    <w:p w14:paraId="0D8C4829" w14:textId="77777777" w:rsidR="00000A72" w:rsidRDefault="00000000">
      <w:pPr>
        <w:spacing w:before="120" w:after="60" w:line="360" w:lineRule="auto"/>
        <w:jc w:val="both"/>
        <w:rPr>
          <w:sz w:val="24"/>
          <w:szCs w:val="24"/>
        </w:rPr>
      </w:pPr>
      <w:r>
        <w:rPr>
          <w:b/>
          <w:bCs/>
          <w:sz w:val="24"/>
          <w:szCs w:val="24"/>
        </w:rPr>
        <w:t>Procedures</w:t>
      </w:r>
    </w:p>
    <w:p w14:paraId="59B90A69" w14:textId="77777777" w:rsidR="00000A72" w:rsidRDefault="00000000">
      <w:pPr>
        <w:spacing w:after="120" w:line="360" w:lineRule="auto"/>
        <w:ind w:hanging="2"/>
        <w:jc w:val="both"/>
        <w:rPr>
          <w:sz w:val="24"/>
          <w:szCs w:val="24"/>
        </w:rPr>
      </w:pPr>
      <w:r>
        <w:rPr>
          <w:sz w:val="24"/>
          <w:szCs w:val="24"/>
        </w:rPr>
        <w:t xml:space="preserve">The study was conducted over four weeks. In the first week, both groups completed the pretest under equivalent conditions. During the intervention period, the experimental group attended three tutoring sessions per week at BSC, each lasting approximately 90 minutes, following structured lesson plans targeting specific grammar and vocabulary topics (Richards &amp; Rodgers, 2014). The control group continued their regular school routine, completing grammar and vocabulary assignments assigned by classroom teachers. At the end of the fourth week, both groups completed the posttest </w:t>
      </w:r>
      <w:r>
        <w:rPr>
          <w:sz w:val="24"/>
          <w:szCs w:val="24"/>
        </w:rPr>
        <w:lastRenderedPageBreak/>
        <w:t>using the same instrument as the pretest, in accordance with quasi-experimental design protocols (Creswell, 2014).</w:t>
      </w:r>
    </w:p>
    <w:p w14:paraId="2AD13CDB" w14:textId="77777777" w:rsidR="00000A72" w:rsidRDefault="00000000">
      <w:pPr>
        <w:spacing w:before="120" w:after="60" w:line="360" w:lineRule="auto"/>
        <w:jc w:val="both"/>
        <w:rPr>
          <w:sz w:val="24"/>
          <w:szCs w:val="24"/>
        </w:rPr>
      </w:pPr>
      <w:r>
        <w:rPr>
          <w:b/>
          <w:bCs/>
          <w:sz w:val="24"/>
          <w:szCs w:val="24"/>
        </w:rPr>
        <w:t>Data Analysis</w:t>
      </w:r>
    </w:p>
    <w:p w14:paraId="381867D0" w14:textId="77777777" w:rsidR="00000A72" w:rsidRDefault="00000000">
      <w:pPr>
        <w:spacing w:after="120" w:line="360" w:lineRule="auto"/>
        <w:ind w:hanging="2"/>
        <w:jc w:val="both"/>
        <w:rPr>
          <w:sz w:val="24"/>
          <w:szCs w:val="24"/>
        </w:rPr>
      </w:pPr>
      <w:r>
        <w:rPr>
          <w:sz w:val="24"/>
          <w:szCs w:val="24"/>
        </w:rPr>
        <w:t>Data were analyzed using descriptive and inferential statistical methods. Descriptive statistics, including mean scores and standard deviations, were calculated for both groups at both time points (Fraenkel et al., 2012). An independent samples t-test was conducted to determine whether the difference in mean improvement scores between the experimental and control groups was statistically significant. The significance level was set at p &lt; 0.05, which is the standard threshold in educational research (Cohen et al., 2018). All analyses were performed using SPSS version 25.0.</w:t>
      </w:r>
    </w:p>
    <w:p w14:paraId="1B5370A1" w14:textId="77777777" w:rsidR="00000A72" w:rsidRDefault="00000A72">
      <w:pPr>
        <w:spacing w:after="120" w:line="360" w:lineRule="auto"/>
        <w:ind w:hanging="2"/>
        <w:jc w:val="both"/>
        <w:rPr>
          <w:b/>
          <w:bCs/>
          <w:color w:val="000000"/>
          <w:sz w:val="24"/>
          <w:szCs w:val="24"/>
          <w:lang w:val="zh-CN"/>
        </w:rPr>
      </w:pPr>
    </w:p>
    <w:p w14:paraId="6B1490B3" w14:textId="77777777" w:rsidR="00000A72" w:rsidRDefault="00000000">
      <w:pPr>
        <w:spacing w:after="120" w:line="360" w:lineRule="auto"/>
        <w:ind w:hanging="2"/>
        <w:jc w:val="both"/>
        <w:rPr>
          <w:b/>
          <w:bCs/>
          <w:color w:val="000000"/>
          <w:sz w:val="24"/>
          <w:szCs w:val="24"/>
          <w:lang w:val="zh-CN"/>
        </w:rPr>
      </w:pPr>
      <w:r>
        <w:rPr>
          <w:b/>
          <w:bCs/>
          <w:color w:val="000000"/>
          <w:sz w:val="24"/>
          <w:szCs w:val="24"/>
          <w:lang w:val="zh-CN"/>
        </w:rPr>
        <w:t xml:space="preserve">RESULTS AND DISCUSSION </w:t>
      </w:r>
    </w:p>
    <w:p w14:paraId="0F00166C" w14:textId="77777777" w:rsidR="00000A72" w:rsidRDefault="00000000">
      <w:pPr>
        <w:spacing w:after="120" w:line="360" w:lineRule="auto"/>
        <w:ind w:hanging="2"/>
        <w:jc w:val="both"/>
        <w:rPr>
          <w:sz w:val="24"/>
          <w:szCs w:val="24"/>
        </w:rPr>
      </w:pPr>
      <w:r>
        <w:rPr>
          <w:sz w:val="24"/>
          <w:szCs w:val="24"/>
        </w:rPr>
        <w:t>This section presents the findings of the study, followed by a discussion of the results in relation to relevant theories and prior research.</w:t>
      </w:r>
    </w:p>
    <w:p w14:paraId="1168D639" w14:textId="77777777" w:rsidR="00000A72" w:rsidRDefault="00000000">
      <w:pPr>
        <w:spacing w:before="120" w:after="60" w:line="360" w:lineRule="auto"/>
        <w:jc w:val="both"/>
        <w:rPr>
          <w:sz w:val="24"/>
          <w:szCs w:val="24"/>
        </w:rPr>
      </w:pPr>
      <w:r>
        <w:rPr>
          <w:b/>
          <w:bCs/>
          <w:sz w:val="24"/>
          <w:szCs w:val="24"/>
        </w:rPr>
        <w:t>Pretest and Posttest Score Comparison</w:t>
      </w:r>
    </w:p>
    <w:p w14:paraId="7DEF09E4" w14:textId="77777777" w:rsidR="00000A72" w:rsidRDefault="00000000">
      <w:pPr>
        <w:spacing w:after="120" w:line="360" w:lineRule="auto"/>
        <w:ind w:hanging="2"/>
        <w:jc w:val="both"/>
        <w:rPr>
          <w:sz w:val="24"/>
          <w:szCs w:val="24"/>
        </w:rPr>
      </w:pPr>
      <w:r>
        <w:rPr>
          <w:sz w:val="24"/>
          <w:szCs w:val="24"/>
        </w:rPr>
        <w:t>Table 1 presents the descriptive statistics for both groups. The experimental group had a mean pretest score of 60.00 (SD = 5.21), while the control group had a mean pretest score of 60.00 (SD = 5.35), indicating initial equivalence between the two groups (Creswell, 2014). After the four-week intervention, the experimental group demonstrated a substantial increase in mean posttest scores to 85.00 (SD = 4.89), whereas the control group showed only a marginal improvement to 65.00 (SD = 5.10).</w:t>
      </w:r>
    </w:p>
    <w:p w14:paraId="565B7114" w14:textId="77777777" w:rsidR="00000A72" w:rsidRDefault="00000000">
      <w:pPr>
        <w:spacing w:before="120" w:after="60"/>
        <w:jc w:val="center"/>
        <w:rPr>
          <w:sz w:val="24"/>
          <w:szCs w:val="24"/>
        </w:rPr>
      </w:pPr>
      <w:r>
        <w:rPr>
          <w:i/>
          <w:iCs/>
          <w:sz w:val="24"/>
          <w:szCs w:val="24"/>
        </w:rPr>
        <w:t>Table 1: Descriptive Statistics of Pretest and Posttest Scores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90"/>
        <w:gridCol w:w="1390"/>
        <w:gridCol w:w="1098"/>
        <w:gridCol w:w="1491"/>
        <w:gridCol w:w="1146"/>
        <w:gridCol w:w="1385"/>
      </w:tblGrid>
      <w:tr w:rsidR="00000A72" w14:paraId="0C3F5B59" w14:textId="77777777">
        <w:trPr>
          <w:tblHeader/>
        </w:trPr>
        <w:tc>
          <w:tcPr>
            <w:tcW w:w="20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0D0DF2D9" w14:textId="77777777" w:rsidR="00000A72" w:rsidRDefault="00000000">
            <w:pPr>
              <w:jc w:val="center"/>
              <w:rPr>
                <w:sz w:val="24"/>
                <w:szCs w:val="24"/>
              </w:rPr>
            </w:pPr>
            <w:r>
              <w:rPr>
                <w:b/>
                <w:bCs/>
                <w:sz w:val="24"/>
                <w:szCs w:val="24"/>
              </w:rPr>
              <w:t>Group</w:t>
            </w:r>
          </w:p>
        </w:tc>
        <w:tc>
          <w:tcPr>
            <w:tcW w:w="14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6B2A157E" w14:textId="77777777" w:rsidR="00000A72" w:rsidRDefault="00000000">
            <w:pPr>
              <w:jc w:val="center"/>
              <w:rPr>
                <w:sz w:val="24"/>
                <w:szCs w:val="24"/>
              </w:rPr>
            </w:pPr>
            <w:r>
              <w:rPr>
                <w:b/>
                <w:bCs/>
                <w:sz w:val="24"/>
                <w:szCs w:val="24"/>
              </w:rPr>
              <w:t>Pretest Mean</w:t>
            </w:r>
          </w:p>
        </w:tc>
        <w:tc>
          <w:tcPr>
            <w:tcW w:w="11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4887787C" w14:textId="77777777" w:rsidR="00000A72" w:rsidRDefault="00000000">
            <w:pPr>
              <w:jc w:val="center"/>
              <w:rPr>
                <w:sz w:val="24"/>
                <w:szCs w:val="24"/>
              </w:rPr>
            </w:pPr>
            <w:r>
              <w:rPr>
                <w:b/>
                <w:bCs/>
                <w:sz w:val="24"/>
                <w:szCs w:val="24"/>
              </w:rPr>
              <w:t>Pretest SD</w:t>
            </w:r>
          </w:p>
        </w:tc>
        <w:tc>
          <w:tcPr>
            <w:tcW w:w="15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102614AD" w14:textId="77777777" w:rsidR="00000A72" w:rsidRDefault="00000000">
            <w:pPr>
              <w:jc w:val="center"/>
              <w:rPr>
                <w:sz w:val="24"/>
                <w:szCs w:val="24"/>
              </w:rPr>
            </w:pPr>
            <w:r>
              <w:rPr>
                <w:b/>
                <w:bCs/>
                <w:sz w:val="24"/>
                <w:szCs w:val="24"/>
              </w:rPr>
              <w:t>Posttest Mean</w:t>
            </w:r>
          </w:p>
        </w:tc>
        <w:tc>
          <w:tcPr>
            <w:tcW w:w="11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1FF3EC58" w14:textId="77777777" w:rsidR="00000A72" w:rsidRDefault="00000000">
            <w:pPr>
              <w:jc w:val="center"/>
              <w:rPr>
                <w:sz w:val="24"/>
                <w:szCs w:val="24"/>
              </w:rPr>
            </w:pPr>
            <w:r>
              <w:rPr>
                <w:b/>
                <w:bCs/>
                <w:sz w:val="24"/>
                <w:szCs w:val="24"/>
              </w:rPr>
              <w:t>Posttest SD</w:t>
            </w:r>
          </w:p>
        </w:tc>
        <w:tc>
          <w:tcPr>
            <w:tcW w:w="14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6BBEA7FC" w14:textId="77777777" w:rsidR="00000A72" w:rsidRDefault="00000000">
            <w:pPr>
              <w:jc w:val="center"/>
              <w:rPr>
                <w:sz w:val="24"/>
                <w:szCs w:val="24"/>
              </w:rPr>
            </w:pPr>
            <w:r>
              <w:rPr>
                <w:b/>
                <w:bCs/>
                <w:sz w:val="24"/>
                <w:szCs w:val="24"/>
              </w:rPr>
              <w:t>Mean Gain</w:t>
            </w:r>
          </w:p>
        </w:tc>
      </w:tr>
      <w:tr w:rsidR="00000A72" w14:paraId="2AB73ED0" w14:textId="77777777">
        <w:tc>
          <w:tcPr>
            <w:tcW w:w="20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75A00EEA" w14:textId="77777777" w:rsidR="00000A72" w:rsidRDefault="00000000">
            <w:pPr>
              <w:jc w:val="center"/>
              <w:rPr>
                <w:sz w:val="24"/>
                <w:szCs w:val="24"/>
              </w:rPr>
            </w:pPr>
            <w:r>
              <w:rPr>
                <w:sz w:val="24"/>
                <w:szCs w:val="24"/>
              </w:rPr>
              <w:t>Experimental (n=10)</w:t>
            </w:r>
          </w:p>
        </w:tc>
        <w:tc>
          <w:tcPr>
            <w:tcW w:w="14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18691FF2" w14:textId="77777777" w:rsidR="00000A72" w:rsidRDefault="00000000">
            <w:pPr>
              <w:jc w:val="center"/>
              <w:rPr>
                <w:sz w:val="24"/>
                <w:szCs w:val="24"/>
              </w:rPr>
            </w:pPr>
            <w:r>
              <w:rPr>
                <w:sz w:val="24"/>
                <w:szCs w:val="24"/>
              </w:rPr>
              <w:t>60.00</w:t>
            </w:r>
          </w:p>
        </w:tc>
        <w:tc>
          <w:tcPr>
            <w:tcW w:w="11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13FB40FD" w14:textId="77777777" w:rsidR="00000A72" w:rsidRDefault="00000000">
            <w:pPr>
              <w:jc w:val="center"/>
              <w:rPr>
                <w:sz w:val="24"/>
                <w:szCs w:val="24"/>
              </w:rPr>
            </w:pPr>
            <w:r>
              <w:rPr>
                <w:sz w:val="24"/>
                <w:szCs w:val="24"/>
              </w:rPr>
              <w:t>5.21</w:t>
            </w:r>
          </w:p>
        </w:tc>
        <w:tc>
          <w:tcPr>
            <w:tcW w:w="15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28F8D49F" w14:textId="77777777" w:rsidR="00000A72" w:rsidRDefault="00000000">
            <w:pPr>
              <w:jc w:val="center"/>
              <w:rPr>
                <w:sz w:val="24"/>
                <w:szCs w:val="24"/>
              </w:rPr>
            </w:pPr>
            <w:r>
              <w:rPr>
                <w:sz w:val="24"/>
                <w:szCs w:val="24"/>
              </w:rPr>
              <w:t>85.00</w:t>
            </w:r>
          </w:p>
        </w:tc>
        <w:tc>
          <w:tcPr>
            <w:tcW w:w="11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6D019FC4" w14:textId="77777777" w:rsidR="00000A72" w:rsidRDefault="00000000">
            <w:pPr>
              <w:jc w:val="center"/>
              <w:rPr>
                <w:sz w:val="24"/>
                <w:szCs w:val="24"/>
              </w:rPr>
            </w:pPr>
            <w:r>
              <w:rPr>
                <w:sz w:val="24"/>
                <w:szCs w:val="24"/>
              </w:rPr>
              <w:t>4.89</w:t>
            </w:r>
          </w:p>
        </w:tc>
        <w:tc>
          <w:tcPr>
            <w:tcW w:w="14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725B1165" w14:textId="77777777" w:rsidR="00000A72" w:rsidRDefault="00000000">
            <w:pPr>
              <w:jc w:val="center"/>
              <w:rPr>
                <w:sz w:val="24"/>
                <w:szCs w:val="24"/>
              </w:rPr>
            </w:pPr>
            <w:r>
              <w:rPr>
                <w:sz w:val="24"/>
                <w:szCs w:val="24"/>
              </w:rPr>
              <w:t>25.00</w:t>
            </w:r>
          </w:p>
        </w:tc>
      </w:tr>
      <w:tr w:rsidR="00000A72" w14:paraId="2D4023E1" w14:textId="77777777">
        <w:tc>
          <w:tcPr>
            <w:tcW w:w="20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52F1736C" w14:textId="77777777" w:rsidR="00000A72" w:rsidRDefault="00000000">
            <w:pPr>
              <w:jc w:val="center"/>
              <w:rPr>
                <w:sz w:val="24"/>
                <w:szCs w:val="24"/>
              </w:rPr>
            </w:pPr>
            <w:r>
              <w:rPr>
                <w:sz w:val="24"/>
                <w:szCs w:val="24"/>
              </w:rPr>
              <w:t>Control (n=10)</w:t>
            </w:r>
          </w:p>
        </w:tc>
        <w:tc>
          <w:tcPr>
            <w:tcW w:w="14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13E5E97A" w14:textId="77777777" w:rsidR="00000A72" w:rsidRDefault="00000000">
            <w:pPr>
              <w:jc w:val="center"/>
              <w:rPr>
                <w:sz w:val="24"/>
                <w:szCs w:val="24"/>
              </w:rPr>
            </w:pPr>
            <w:r>
              <w:rPr>
                <w:sz w:val="24"/>
                <w:szCs w:val="24"/>
              </w:rPr>
              <w:t>60.00</w:t>
            </w:r>
          </w:p>
        </w:tc>
        <w:tc>
          <w:tcPr>
            <w:tcW w:w="11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763AAEBB" w14:textId="77777777" w:rsidR="00000A72" w:rsidRDefault="00000000">
            <w:pPr>
              <w:jc w:val="center"/>
              <w:rPr>
                <w:sz w:val="24"/>
                <w:szCs w:val="24"/>
              </w:rPr>
            </w:pPr>
            <w:r>
              <w:rPr>
                <w:sz w:val="24"/>
                <w:szCs w:val="24"/>
              </w:rPr>
              <w:t>5.35</w:t>
            </w:r>
          </w:p>
        </w:tc>
        <w:tc>
          <w:tcPr>
            <w:tcW w:w="15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444E2BBA" w14:textId="77777777" w:rsidR="00000A72" w:rsidRDefault="00000000">
            <w:pPr>
              <w:jc w:val="center"/>
              <w:rPr>
                <w:sz w:val="24"/>
                <w:szCs w:val="24"/>
              </w:rPr>
            </w:pPr>
            <w:r>
              <w:rPr>
                <w:sz w:val="24"/>
                <w:szCs w:val="24"/>
              </w:rPr>
              <w:t>65.00</w:t>
            </w:r>
          </w:p>
        </w:tc>
        <w:tc>
          <w:tcPr>
            <w:tcW w:w="11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05F058B7" w14:textId="77777777" w:rsidR="00000A72" w:rsidRDefault="00000000">
            <w:pPr>
              <w:jc w:val="center"/>
              <w:rPr>
                <w:sz w:val="24"/>
                <w:szCs w:val="24"/>
              </w:rPr>
            </w:pPr>
            <w:r>
              <w:rPr>
                <w:sz w:val="24"/>
                <w:szCs w:val="24"/>
              </w:rPr>
              <w:t>5.10</w:t>
            </w:r>
          </w:p>
        </w:tc>
        <w:tc>
          <w:tcPr>
            <w:tcW w:w="14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7088054C" w14:textId="77777777" w:rsidR="00000A72" w:rsidRDefault="00000000">
            <w:pPr>
              <w:jc w:val="center"/>
              <w:rPr>
                <w:sz w:val="24"/>
                <w:szCs w:val="24"/>
              </w:rPr>
            </w:pPr>
            <w:r>
              <w:rPr>
                <w:sz w:val="24"/>
                <w:szCs w:val="24"/>
              </w:rPr>
              <w:t>5.00</w:t>
            </w:r>
          </w:p>
        </w:tc>
      </w:tr>
    </w:tbl>
    <w:p w14:paraId="10AD3E8A" w14:textId="77777777" w:rsidR="00000A72" w:rsidRDefault="00000A72">
      <w:pPr>
        <w:spacing w:before="60" w:after="120"/>
        <w:rPr>
          <w:sz w:val="24"/>
          <w:szCs w:val="24"/>
        </w:rPr>
      </w:pPr>
    </w:p>
    <w:p w14:paraId="6144F8C4" w14:textId="77777777" w:rsidR="00000A72" w:rsidRDefault="00000000">
      <w:pPr>
        <w:spacing w:after="120" w:line="360" w:lineRule="auto"/>
        <w:ind w:firstLine="426"/>
        <w:jc w:val="both"/>
        <w:rPr>
          <w:sz w:val="24"/>
          <w:szCs w:val="24"/>
        </w:rPr>
      </w:pPr>
      <w:r>
        <w:rPr>
          <w:sz w:val="24"/>
          <w:szCs w:val="24"/>
        </w:rPr>
        <w:t xml:space="preserve">The mean gain of 25 points for the experimental group compared to only 5 points for the control group represents a fivefold difference in learning improvement. This substantial difference is consistent with prior research indicating that structured </w:t>
      </w:r>
      <w:r>
        <w:rPr>
          <w:sz w:val="24"/>
          <w:szCs w:val="24"/>
        </w:rPr>
        <w:lastRenderedPageBreak/>
        <w:t>supplementary tutoring leads to significantly higher academic gains than unsupported self-study (Bray &amp; Lykins, 2012; Kim, 2007).</w:t>
      </w:r>
    </w:p>
    <w:p w14:paraId="2E085FBB" w14:textId="77777777" w:rsidR="00000A72" w:rsidRDefault="00000000">
      <w:pPr>
        <w:spacing w:before="120" w:after="60" w:line="360" w:lineRule="auto"/>
        <w:jc w:val="both"/>
        <w:rPr>
          <w:sz w:val="24"/>
          <w:szCs w:val="24"/>
        </w:rPr>
      </w:pPr>
      <w:r>
        <w:rPr>
          <w:b/>
          <w:bCs/>
          <w:sz w:val="24"/>
          <w:szCs w:val="24"/>
        </w:rPr>
        <w:t>Inferential Statistics</w:t>
      </w:r>
    </w:p>
    <w:p w14:paraId="124D4B53" w14:textId="77777777" w:rsidR="00000A72" w:rsidRDefault="00000000">
      <w:pPr>
        <w:spacing w:after="120" w:line="360" w:lineRule="auto"/>
        <w:ind w:hanging="2"/>
        <w:jc w:val="both"/>
        <w:rPr>
          <w:sz w:val="24"/>
          <w:szCs w:val="24"/>
        </w:rPr>
      </w:pPr>
      <w:r>
        <w:rPr>
          <w:sz w:val="24"/>
          <w:szCs w:val="24"/>
        </w:rPr>
        <w:t>An independent samples t-test was conducted to compare the mean improvement scores of the two groups. The results yielded a t-value of 12.47 (df = 18, p &lt; 0.001), indicating a statistically significant difference between the groups. These findings confirm that the improvement in the experimental group was attributable to the tutoring intervention (Fraenkel et al., 2012). Table 2 presents the t-test results.</w:t>
      </w:r>
    </w:p>
    <w:p w14:paraId="3A4F6015" w14:textId="77777777" w:rsidR="00000A72" w:rsidRDefault="00000000">
      <w:pPr>
        <w:spacing w:before="120" w:after="60"/>
        <w:jc w:val="center"/>
        <w:rPr>
          <w:sz w:val="24"/>
          <w:szCs w:val="24"/>
        </w:rPr>
      </w:pPr>
      <w:r>
        <w:rPr>
          <w:i/>
          <w:iCs/>
          <w:sz w:val="24"/>
          <w:szCs w:val="24"/>
        </w:rPr>
        <w:t>Table 2: Independent Samples T-Test Results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200"/>
        <w:gridCol w:w="800"/>
        <w:gridCol w:w="1200"/>
        <w:gridCol w:w="2300"/>
      </w:tblGrid>
      <w:tr w:rsidR="00000A72" w14:paraId="0E99F4B8" w14:textId="77777777">
        <w:trPr>
          <w:tblHeader/>
        </w:trPr>
        <w:tc>
          <w:tcPr>
            <w:tcW w:w="30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1225D08F" w14:textId="77777777" w:rsidR="00000A72" w:rsidRDefault="00000000">
            <w:pPr>
              <w:jc w:val="center"/>
              <w:rPr>
                <w:sz w:val="24"/>
                <w:szCs w:val="24"/>
              </w:rPr>
            </w:pPr>
            <w:r>
              <w:rPr>
                <w:b/>
                <w:bCs/>
                <w:sz w:val="24"/>
                <w:szCs w:val="24"/>
              </w:rPr>
              <w:t>Variable</w:t>
            </w:r>
          </w:p>
        </w:tc>
        <w:tc>
          <w:tcPr>
            <w:tcW w:w="12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4FBECA00" w14:textId="77777777" w:rsidR="00000A72" w:rsidRDefault="00000000">
            <w:pPr>
              <w:jc w:val="center"/>
              <w:rPr>
                <w:sz w:val="24"/>
                <w:szCs w:val="24"/>
              </w:rPr>
            </w:pPr>
            <w:r>
              <w:rPr>
                <w:b/>
                <w:bCs/>
                <w:sz w:val="24"/>
                <w:szCs w:val="24"/>
              </w:rPr>
              <w:t>t-value</w:t>
            </w:r>
          </w:p>
        </w:tc>
        <w:tc>
          <w:tcPr>
            <w:tcW w:w="8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655849D9" w14:textId="77777777" w:rsidR="00000A72" w:rsidRDefault="00000000">
            <w:pPr>
              <w:jc w:val="center"/>
              <w:rPr>
                <w:sz w:val="24"/>
                <w:szCs w:val="24"/>
              </w:rPr>
            </w:pPr>
            <w:r>
              <w:rPr>
                <w:b/>
                <w:bCs/>
                <w:sz w:val="24"/>
                <w:szCs w:val="24"/>
              </w:rPr>
              <w:t>df</w:t>
            </w:r>
          </w:p>
        </w:tc>
        <w:tc>
          <w:tcPr>
            <w:tcW w:w="12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07160099" w14:textId="77777777" w:rsidR="00000A72" w:rsidRDefault="00000000">
            <w:pPr>
              <w:jc w:val="center"/>
              <w:rPr>
                <w:sz w:val="24"/>
                <w:szCs w:val="24"/>
              </w:rPr>
            </w:pPr>
            <w:r>
              <w:rPr>
                <w:b/>
                <w:bCs/>
                <w:sz w:val="24"/>
                <w:szCs w:val="24"/>
              </w:rPr>
              <w:t>p-value</w:t>
            </w:r>
          </w:p>
        </w:tc>
        <w:tc>
          <w:tcPr>
            <w:tcW w:w="2300" w:type="dxa"/>
            <w:tcBorders>
              <w:top w:val="single" w:sz="0" w:space="0" w:color="000000"/>
              <w:left w:val="single" w:sz="0" w:space="0" w:color="000000"/>
              <w:bottom w:val="single" w:sz="0" w:space="0" w:color="000000"/>
              <w:right w:val="single" w:sz="0" w:space="0" w:color="000000"/>
            </w:tcBorders>
            <w:shd w:val="clear" w:color="auto" w:fill="D9D9D9"/>
            <w:tcMar>
              <w:top w:w="80" w:type="dxa"/>
              <w:left w:w="100" w:type="dxa"/>
              <w:bottom w:w="80" w:type="dxa"/>
              <w:right w:w="100" w:type="dxa"/>
            </w:tcMar>
          </w:tcPr>
          <w:p w14:paraId="72219D3C" w14:textId="77777777" w:rsidR="00000A72" w:rsidRDefault="00000000">
            <w:pPr>
              <w:jc w:val="center"/>
              <w:rPr>
                <w:sz w:val="24"/>
                <w:szCs w:val="24"/>
              </w:rPr>
            </w:pPr>
            <w:r>
              <w:rPr>
                <w:b/>
                <w:bCs/>
                <w:sz w:val="24"/>
                <w:szCs w:val="24"/>
              </w:rPr>
              <w:t>Mean Difference</w:t>
            </w:r>
          </w:p>
        </w:tc>
      </w:tr>
      <w:tr w:rsidR="00000A72" w14:paraId="5A2CEB77" w14:textId="77777777">
        <w:tc>
          <w:tcPr>
            <w:tcW w:w="30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434DFC4D" w14:textId="77777777" w:rsidR="00000A72" w:rsidRDefault="00000000">
            <w:pPr>
              <w:jc w:val="center"/>
              <w:rPr>
                <w:sz w:val="24"/>
                <w:szCs w:val="24"/>
              </w:rPr>
            </w:pPr>
            <w:r>
              <w:rPr>
                <w:sz w:val="24"/>
                <w:szCs w:val="24"/>
              </w:rPr>
              <w:t>Grammar &amp; Vocabulary Gain</w:t>
            </w:r>
          </w:p>
        </w:tc>
        <w:tc>
          <w:tcPr>
            <w:tcW w:w="12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21D4FE6D" w14:textId="77777777" w:rsidR="00000A72" w:rsidRDefault="00000000">
            <w:pPr>
              <w:jc w:val="center"/>
              <w:rPr>
                <w:sz w:val="24"/>
                <w:szCs w:val="24"/>
              </w:rPr>
            </w:pPr>
            <w:r>
              <w:rPr>
                <w:sz w:val="24"/>
                <w:szCs w:val="24"/>
              </w:rPr>
              <w:t>12.47</w:t>
            </w:r>
          </w:p>
        </w:tc>
        <w:tc>
          <w:tcPr>
            <w:tcW w:w="8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03315705" w14:textId="77777777" w:rsidR="00000A72" w:rsidRDefault="00000000">
            <w:pPr>
              <w:jc w:val="center"/>
              <w:rPr>
                <w:sz w:val="24"/>
                <w:szCs w:val="24"/>
              </w:rPr>
            </w:pPr>
            <w:r>
              <w:rPr>
                <w:sz w:val="24"/>
                <w:szCs w:val="24"/>
              </w:rPr>
              <w:t>18</w:t>
            </w:r>
          </w:p>
        </w:tc>
        <w:tc>
          <w:tcPr>
            <w:tcW w:w="12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16E40FDE" w14:textId="77777777" w:rsidR="00000A72" w:rsidRDefault="00000000">
            <w:pPr>
              <w:jc w:val="center"/>
              <w:rPr>
                <w:sz w:val="24"/>
                <w:szCs w:val="24"/>
              </w:rPr>
            </w:pPr>
            <w:r>
              <w:rPr>
                <w:sz w:val="24"/>
                <w:szCs w:val="24"/>
              </w:rPr>
              <w:t>&lt; 0.001</w:t>
            </w:r>
          </w:p>
        </w:tc>
        <w:tc>
          <w:tcPr>
            <w:tcW w:w="2300" w:type="dxa"/>
            <w:tcBorders>
              <w:top w:val="single" w:sz="0" w:space="0" w:color="000000"/>
              <w:left w:val="single" w:sz="0" w:space="0" w:color="000000"/>
              <w:bottom w:val="single" w:sz="0" w:space="0" w:color="000000"/>
              <w:right w:val="single" w:sz="0" w:space="0" w:color="000000"/>
            </w:tcBorders>
            <w:tcMar>
              <w:top w:w="80" w:type="dxa"/>
              <w:left w:w="100" w:type="dxa"/>
              <w:bottom w:w="80" w:type="dxa"/>
              <w:right w:w="100" w:type="dxa"/>
            </w:tcMar>
          </w:tcPr>
          <w:p w14:paraId="46418234" w14:textId="77777777" w:rsidR="00000A72" w:rsidRDefault="00000000">
            <w:pPr>
              <w:jc w:val="center"/>
              <w:rPr>
                <w:sz w:val="24"/>
                <w:szCs w:val="24"/>
              </w:rPr>
            </w:pPr>
            <w:r>
              <w:rPr>
                <w:sz w:val="24"/>
                <w:szCs w:val="24"/>
              </w:rPr>
              <w:t>20.00</w:t>
            </w:r>
          </w:p>
        </w:tc>
      </w:tr>
    </w:tbl>
    <w:p w14:paraId="085227A0" w14:textId="77777777" w:rsidR="00000A72" w:rsidRDefault="00000A72">
      <w:pPr>
        <w:spacing w:before="60" w:after="120"/>
        <w:rPr>
          <w:sz w:val="24"/>
          <w:szCs w:val="24"/>
        </w:rPr>
      </w:pPr>
    </w:p>
    <w:p w14:paraId="52C6CE1C" w14:textId="77777777" w:rsidR="00000A72" w:rsidRDefault="00000000">
      <w:pPr>
        <w:spacing w:before="120" w:after="60" w:line="360" w:lineRule="auto"/>
        <w:jc w:val="both"/>
        <w:rPr>
          <w:sz w:val="24"/>
          <w:szCs w:val="24"/>
        </w:rPr>
      </w:pPr>
      <w:r>
        <w:rPr>
          <w:b/>
          <w:bCs/>
          <w:sz w:val="24"/>
          <w:szCs w:val="24"/>
        </w:rPr>
        <w:t>Discussion</w:t>
      </w:r>
    </w:p>
    <w:p w14:paraId="2FDDEFB9" w14:textId="77777777" w:rsidR="00000A72" w:rsidRDefault="00000000">
      <w:pPr>
        <w:spacing w:after="120" w:line="360" w:lineRule="auto"/>
        <w:ind w:hanging="2"/>
        <w:jc w:val="both"/>
        <w:rPr>
          <w:sz w:val="24"/>
          <w:szCs w:val="24"/>
        </w:rPr>
      </w:pPr>
      <w:r>
        <w:rPr>
          <w:sz w:val="24"/>
          <w:szCs w:val="24"/>
        </w:rPr>
        <w:t>The results provide compelling evidence for the effectiveness of structured private tutoring in improving English grammar and vocabulary. The experimental group's mean gain of 25 points aligns with findings from previous research demonstrating the academic benefits of supplementary education (Bray &amp; Lykins, 2012; Zhang &amp; Bray, 2017). The statistically significant t-test result (p &lt; 0.001) further validates the positive impact of the BSC program.</w:t>
      </w:r>
    </w:p>
    <w:p w14:paraId="70426718" w14:textId="77777777" w:rsidR="00000A72" w:rsidRDefault="00000000">
      <w:pPr>
        <w:spacing w:after="120" w:line="360" w:lineRule="auto"/>
        <w:ind w:firstLine="426"/>
        <w:jc w:val="both"/>
        <w:rPr>
          <w:sz w:val="24"/>
          <w:szCs w:val="24"/>
        </w:rPr>
      </w:pPr>
      <w:r>
        <w:rPr>
          <w:sz w:val="24"/>
          <w:szCs w:val="24"/>
        </w:rPr>
        <w:t>Several factors appear to have contributed to the superior outcomes of the experimental group. First, the consistent meeting frequency of three sessions per week provided regular and distributed exposure to English grammar and vocabulary content. This aligns with Nation's (2001) argument that repeated and spaced practice is crucial for vocabulary acquisition and grammatical consolidation. Second, the small group setting at BSC facilitated greater individual attention compared to typical classroom settings. Finn and Achilles (1990) demonstrated that reduced class size positively correlates with academic achievement, and the BSC setting approximates this advantage.</w:t>
      </w:r>
    </w:p>
    <w:p w14:paraId="3E79EA39" w14:textId="77777777" w:rsidR="00000A72" w:rsidRDefault="00000000">
      <w:pPr>
        <w:spacing w:after="120" w:line="360" w:lineRule="auto"/>
        <w:ind w:firstLine="426"/>
        <w:jc w:val="both"/>
        <w:rPr>
          <w:sz w:val="24"/>
          <w:szCs w:val="24"/>
        </w:rPr>
      </w:pPr>
      <w:r>
        <w:rPr>
          <w:sz w:val="24"/>
          <w:szCs w:val="24"/>
        </w:rPr>
        <w:t xml:space="preserve">Third, the provision of direct and immediate corrective feedback during tutoring sessions likely played a significant role in students' learning progress. Ellis (2009) highlights the importance of corrective feedback in second language acquisition, noting </w:t>
      </w:r>
      <w:r>
        <w:rPr>
          <w:sz w:val="24"/>
          <w:szCs w:val="24"/>
        </w:rPr>
        <w:lastRenderedPageBreak/>
        <w:t>that timely error correction helps learners identify and address persistent grammatical errors. In the BSC program, the tutor was able to identify individual students' weaknesses and address them directly, a level of personalization that is difficult to achieve in conventional classroom settings (Vygotsky, 1978).</w:t>
      </w:r>
    </w:p>
    <w:p w14:paraId="661B52C3" w14:textId="77777777" w:rsidR="00000A72" w:rsidRDefault="00000000">
      <w:pPr>
        <w:spacing w:after="120" w:line="360" w:lineRule="auto"/>
        <w:ind w:firstLine="426"/>
        <w:jc w:val="both"/>
        <w:rPr>
          <w:sz w:val="24"/>
          <w:szCs w:val="24"/>
        </w:rPr>
      </w:pPr>
      <w:r>
        <w:rPr>
          <w:sz w:val="24"/>
          <w:szCs w:val="24"/>
        </w:rPr>
        <w:t>In contrast, the control group's limited improvement of 5 points suggests that completing school assignments alone provides insufficient practice and feedback for meaningful grammar and vocabulary development. While school assignments serve important consolidation functions, they typically lack the interactive and adaptive dimensions that characterize effective tutoring interventions (Vygotsky, 1978; Slavin, 1987). The results also resonate with Krashen's (1982) Input Hypothesis, suggesting that the comprehensible and graduated input provided in the tutoring program created favorable conditions for language acquisition beyond what the standard curriculum offered. Furthermore, Watanabe (2000) observed similar patterns in Japanese tutoring contexts, where structured out-of-school instruction consistently outperformed home-based self-study in measurable language gains.</w:t>
      </w:r>
    </w:p>
    <w:p w14:paraId="4142FCAC" w14:textId="77777777" w:rsidR="00000A72" w:rsidRDefault="00000000">
      <w:pPr>
        <w:spacing w:after="120" w:line="360" w:lineRule="auto"/>
        <w:ind w:firstLine="426"/>
        <w:jc w:val="both"/>
        <w:rPr>
          <w:sz w:val="24"/>
          <w:szCs w:val="24"/>
        </w:rPr>
      </w:pPr>
      <w:r>
        <w:rPr>
          <w:sz w:val="24"/>
          <w:szCs w:val="24"/>
        </w:rPr>
        <w:t>These findings contribute to the broader literature on shadow education in Asia (Bray, 2014), demonstrating that well-structured private tutoring programs can serve as effective supplements to formal schooling in developing targeted language skills. The role of motivational factors should also be acknowledged: students who voluntarily attend tutoring may demonstrate higher intrinsic motivation, which Dörnyei (2001) identifies as a key driver of second language achievement.</w:t>
      </w:r>
    </w:p>
    <w:p w14:paraId="41E439A9" w14:textId="77777777" w:rsidR="00000A72" w:rsidRDefault="00000A72">
      <w:pPr>
        <w:spacing w:after="120" w:line="360" w:lineRule="auto"/>
        <w:ind w:hanging="2"/>
        <w:jc w:val="both"/>
        <w:rPr>
          <w:b/>
          <w:bCs/>
          <w:color w:val="000000"/>
          <w:sz w:val="24"/>
          <w:szCs w:val="24"/>
          <w:lang w:val="zh-CN"/>
        </w:rPr>
      </w:pPr>
    </w:p>
    <w:p w14:paraId="6B84E6CD" w14:textId="77777777" w:rsidR="00000A72" w:rsidRDefault="00000000">
      <w:pPr>
        <w:spacing w:after="120" w:line="360" w:lineRule="auto"/>
        <w:ind w:hanging="2"/>
        <w:jc w:val="both"/>
        <w:rPr>
          <w:b/>
          <w:bCs/>
          <w:color w:val="000000"/>
          <w:sz w:val="24"/>
          <w:szCs w:val="24"/>
          <w:lang w:val="zh-CN"/>
        </w:rPr>
      </w:pPr>
      <w:r>
        <w:rPr>
          <w:b/>
          <w:bCs/>
          <w:color w:val="000000"/>
          <w:sz w:val="24"/>
          <w:szCs w:val="24"/>
          <w:lang w:val="zh-CN"/>
        </w:rPr>
        <w:t xml:space="preserve">CONCLUSION </w:t>
      </w:r>
    </w:p>
    <w:p w14:paraId="64974194" w14:textId="77777777" w:rsidR="00000A72" w:rsidRDefault="00000000">
      <w:pPr>
        <w:spacing w:after="120" w:line="360" w:lineRule="auto"/>
        <w:ind w:hanging="2"/>
        <w:jc w:val="both"/>
        <w:rPr>
          <w:sz w:val="24"/>
          <w:szCs w:val="24"/>
        </w:rPr>
      </w:pPr>
      <w:r>
        <w:rPr>
          <w:sz w:val="24"/>
          <w:szCs w:val="24"/>
        </w:rPr>
        <w:t xml:space="preserve">This study investigated the comparative effectiveness of private tutoring at BSC Nganjuk versus school-only task completion in teaching English grammar and vocabulary to junior high school students. Using a quasi-experimental pretest-posttest control group design (Creswell, 2014), the findings demonstrated that students who participated in the four-week BSC tutoring program achieved significantly greater improvements in grammar and vocabulary scores (mean gain: 25 points) compared to those who only completed school assignments (mean gain: 5 points). The independent samples t-test confirmed this difference to be statistically significant (t = 12.47, p &lt; </w:t>
      </w:r>
      <w:r>
        <w:rPr>
          <w:sz w:val="24"/>
          <w:szCs w:val="24"/>
        </w:rPr>
        <w:lastRenderedPageBreak/>
        <w:t>0.001), consistent with established benchmarks in educational research (Cohen et al., 2018).</w:t>
      </w:r>
    </w:p>
    <w:p w14:paraId="19BBB564" w14:textId="77777777" w:rsidR="00000A72" w:rsidRDefault="00000000">
      <w:pPr>
        <w:spacing w:after="120" w:line="360" w:lineRule="auto"/>
        <w:ind w:firstLine="426"/>
        <w:jc w:val="both"/>
        <w:rPr>
          <w:sz w:val="24"/>
          <w:szCs w:val="24"/>
        </w:rPr>
      </w:pPr>
      <w:r>
        <w:rPr>
          <w:sz w:val="24"/>
          <w:szCs w:val="24"/>
        </w:rPr>
        <w:t>These findings have several practical implications. First, they suggest that private tutoring programs with structured curricula, consistent meeting schedules, and individualized feedback can serve as effective supplements to formal English language instruction in Indonesian secondary schools (Bray &amp; Lykins, 2012). Second, the results highlight the need for English language teachers and curriculum designers to consider how school-based assignments can be enriched to incorporate targeted grammar and vocabulary practice alongside direct feedback mechanisms (Ellis, 2009; Nation, 2001). Third, the study demonstrates the value of practitioner-research in generating meaningful insights into educational effectiveness (Burns, 2010).</w:t>
      </w:r>
    </w:p>
    <w:p w14:paraId="512A8303" w14:textId="77777777" w:rsidR="00000A72" w:rsidRDefault="00000000">
      <w:pPr>
        <w:spacing w:after="120" w:line="360" w:lineRule="auto"/>
        <w:ind w:firstLine="426"/>
        <w:jc w:val="both"/>
        <w:rPr>
          <w:sz w:val="24"/>
          <w:szCs w:val="24"/>
        </w:rPr>
      </w:pPr>
      <w:r>
        <w:rPr>
          <w:sz w:val="24"/>
          <w:szCs w:val="24"/>
        </w:rPr>
        <w:t>For future research, it is recommended that similar studies be conducted with larger sample sizes and over longer intervention periods to enhance generalizability (Fraenkel et al., 2012). Additionally, qualitative investigations into students' perceptions of private tutoring and its motivational effects could provide complementary insights into the mechanisms underlying tutoring effectiveness (Dörnyei, 2001). Future studies might also explore the long-term retention of grammar and vocabulary gains following the end of the tutoring program (Nation, 2001), and examine whether benefits extend to other aspects of English language proficiency such as speaking and writing (Richards &amp; Rodgers, 2014).</w:t>
      </w:r>
    </w:p>
    <w:p w14:paraId="66F0E114" w14:textId="77777777" w:rsidR="00000A72" w:rsidRDefault="00000A72">
      <w:pPr>
        <w:spacing w:after="120" w:line="360" w:lineRule="auto"/>
        <w:ind w:hanging="2"/>
        <w:jc w:val="both"/>
        <w:rPr>
          <w:b/>
          <w:bCs/>
          <w:color w:val="000000"/>
          <w:sz w:val="24"/>
          <w:szCs w:val="24"/>
          <w:lang w:val="zh-CN"/>
        </w:rPr>
      </w:pPr>
    </w:p>
    <w:p w14:paraId="41F7B80C" w14:textId="77777777" w:rsidR="00000A72" w:rsidRDefault="00000A72">
      <w:pPr>
        <w:spacing w:after="120" w:line="360" w:lineRule="auto"/>
        <w:ind w:hanging="2"/>
        <w:jc w:val="both"/>
        <w:rPr>
          <w:b/>
          <w:bCs/>
          <w:color w:val="000000"/>
          <w:sz w:val="24"/>
          <w:szCs w:val="24"/>
          <w:lang w:val="zh-CN"/>
        </w:rPr>
      </w:pPr>
    </w:p>
    <w:p w14:paraId="575C80E5" w14:textId="77777777" w:rsidR="00000A72" w:rsidRDefault="00000A72">
      <w:pPr>
        <w:spacing w:after="120" w:line="360" w:lineRule="auto"/>
        <w:ind w:hanging="2"/>
        <w:jc w:val="both"/>
        <w:rPr>
          <w:b/>
          <w:bCs/>
          <w:color w:val="000000"/>
          <w:sz w:val="24"/>
          <w:szCs w:val="24"/>
          <w:lang w:val="zh-CN"/>
        </w:rPr>
      </w:pPr>
    </w:p>
    <w:p w14:paraId="12C9B78C" w14:textId="77777777" w:rsidR="00000A72" w:rsidRDefault="00000000">
      <w:pPr>
        <w:spacing w:after="120" w:line="360" w:lineRule="auto"/>
        <w:ind w:hanging="2"/>
        <w:jc w:val="both"/>
        <w:rPr>
          <w:b/>
          <w:bCs/>
          <w:color w:val="000000"/>
          <w:sz w:val="24"/>
          <w:szCs w:val="24"/>
          <w:lang w:val="zh-CN"/>
        </w:rPr>
      </w:pPr>
      <w:r>
        <w:rPr>
          <w:b/>
          <w:bCs/>
          <w:color w:val="000000"/>
          <w:sz w:val="24"/>
          <w:szCs w:val="24"/>
          <w:lang w:val="zh-CN"/>
        </w:rPr>
        <w:t>AUTHOR BIOGRAPHY</w:t>
      </w:r>
    </w:p>
    <w:p w14:paraId="5F932DFB" w14:textId="77777777" w:rsidR="00000A72" w:rsidRDefault="00000000">
      <w:pPr>
        <w:spacing w:after="120" w:line="360" w:lineRule="auto"/>
        <w:ind w:hanging="2"/>
        <w:jc w:val="both"/>
        <w:rPr>
          <w:sz w:val="24"/>
          <w:szCs w:val="24"/>
        </w:rPr>
      </w:pPr>
      <w:r>
        <w:rPr>
          <w:sz w:val="24"/>
          <w:szCs w:val="24"/>
        </w:rPr>
        <w:t>Sunniya Zulfata Binta Hurin 'In is an undergraduate student in the English Language Education Department (Pendidikan Bahasa Inggris) at Universitas Islam Kadiri, Indonesia. Her academic interests include English language teaching, second language acquisition, educational linguistics, and the effectiveness of supplementary education in Indonesian EFL contexts. She is also the</w:t>
      </w:r>
      <w:r>
        <w:rPr>
          <w:sz w:val="24"/>
          <w:szCs w:val="24"/>
          <w:lang w:val="id-ID"/>
        </w:rPr>
        <w:t xml:space="preserve"> </w:t>
      </w:r>
      <w:r>
        <w:rPr>
          <w:sz w:val="24"/>
          <w:szCs w:val="24"/>
        </w:rPr>
        <w:t>founder</w:t>
      </w:r>
      <w:r>
        <w:rPr>
          <w:sz w:val="24"/>
          <w:szCs w:val="24"/>
          <w:lang w:val="id-ID"/>
        </w:rPr>
        <w:t>’s daughter</w:t>
      </w:r>
      <w:r>
        <w:rPr>
          <w:sz w:val="24"/>
          <w:szCs w:val="24"/>
        </w:rPr>
        <w:t xml:space="preserve"> and tutor of BSC (Binta Syukriyya Course), a private English tutoring service in Nganjuk, East Java.</w:t>
      </w:r>
    </w:p>
    <w:p w14:paraId="2C57D1E6" w14:textId="77777777" w:rsidR="00000A72" w:rsidRDefault="00000A72">
      <w:pPr>
        <w:spacing w:after="120" w:line="360" w:lineRule="auto"/>
        <w:ind w:hanging="2"/>
        <w:jc w:val="both"/>
        <w:rPr>
          <w:sz w:val="24"/>
          <w:szCs w:val="24"/>
        </w:rPr>
      </w:pPr>
    </w:p>
    <w:p w14:paraId="401C249E" w14:textId="77777777" w:rsidR="00000A72" w:rsidRDefault="00000000">
      <w:pPr>
        <w:spacing w:after="120" w:line="360" w:lineRule="auto"/>
        <w:ind w:hanging="2"/>
        <w:jc w:val="both"/>
        <w:rPr>
          <w:b/>
          <w:bCs/>
          <w:color w:val="000000"/>
          <w:sz w:val="24"/>
          <w:szCs w:val="24"/>
          <w:lang w:val="zh-CN"/>
        </w:rPr>
      </w:pPr>
      <w:r>
        <w:rPr>
          <w:b/>
          <w:bCs/>
          <w:color w:val="000000"/>
          <w:sz w:val="24"/>
          <w:szCs w:val="24"/>
          <w:lang w:val="zh-CN"/>
        </w:rPr>
        <w:lastRenderedPageBreak/>
        <w:t>ACKNOWLEDGEMENTS</w:t>
      </w:r>
    </w:p>
    <w:p w14:paraId="12B5A6DB" w14:textId="77777777" w:rsidR="00000A72" w:rsidRDefault="00000000">
      <w:pPr>
        <w:spacing w:after="120" w:line="360" w:lineRule="auto"/>
        <w:ind w:hanging="2"/>
        <w:jc w:val="both"/>
        <w:rPr>
          <w:sz w:val="24"/>
          <w:szCs w:val="24"/>
        </w:rPr>
      </w:pPr>
      <w:r>
        <w:rPr>
          <w:sz w:val="24"/>
          <w:szCs w:val="24"/>
        </w:rPr>
        <w:t>The author would like to express sincere gratitude to the students of BSC Nganjuk for their willingness to participate in this study, and to the faculty of the English Language Education Department at Universitas Islam Kadiri for their guidance and academic support throughout the research process.</w:t>
      </w:r>
    </w:p>
    <w:p w14:paraId="5DCED0C9" w14:textId="77777777" w:rsidR="00000A72" w:rsidRDefault="00000A72">
      <w:pPr>
        <w:spacing w:after="120" w:line="360" w:lineRule="auto"/>
        <w:ind w:firstLine="0"/>
        <w:jc w:val="both"/>
        <w:rPr>
          <w:color w:val="000000"/>
          <w:sz w:val="24"/>
          <w:szCs w:val="24"/>
          <w:lang w:val="zh-CN"/>
        </w:rPr>
      </w:pPr>
    </w:p>
    <w:p w14:paraId="622C95D2" w14:textId="77777777" w:rsidR="00000A72" w:rsidRDefault="00000000">
      <w:pPr>
        <w:spacing w:after="120" w:line="360" w:lineRule="auto"/>
        <w:ind w:hanging="2"/>
        <w:jc w:val="both"/>
        <w:rPr>
          <w:b/>
          <w:bCs/>
          <w:color w:val="000000"/>
          <w:sz w:val="24"/>
          <w:szCs w:val="24"/>
          <w:lang w:val="zh-CN"/>
        </w:rPr>
      </w:pPr>
      <w:r>
        <w:rPr>
          <w:b/>
          <w:bCs/>
          <w:color w:val="000000"/>
          <w:sz w:val="24"/>
          <w:szCs w:val="24"/>
          <w:lang w:val="zh-CN"/>
        </w:rPr>
        <w:t>REFERENCES</w:t>
      </w:r>
    </w:p>
    <w:p w14:paraId="637C7B38" w14:textId="77777777" w:rsidR="00000A72" w:rsidRDefault="00000000">
      <w:pPr>
        <w:spacing w:after="120" w:line="360" w:lineRule="auto"/>
        <w:ind w:left="720" w:hanging="720"/>
        <w:jc w:val="both"/>
        <w:rPr>
          <w:sz w:val="24"/>
          <w:szCs w:val="24"/>
        </w:rPr>
      </w:pPr>
      <w:r>
        <w:rPr>
          <w:sz w:val="24"/>
          <w:szCs w:val="24"/>
        </w:rPr>
        <w:t>Bray, M. (2009). Confronting the shadow education system: What government policies for what private tutoring? UNESCO International Institute for Educational Planning.</w:t>
      </w:r>
    </w:p>
    <w:p w14:paraId="398FFCB2" w14:textId="77777777" w:rsidR="00000A72" w:rsidRDefault="00000000">
      <w:pPr>
        <w:spacing w:after="120" w:line="360" w:lineRule="auto"/>
        <w:ind w:left="720" w:hanging="720"/>
        <w:jc w:val="both"/>
        <w:rPr>
          <w:sz w:val="24"/>
          <w:szCs w:val="24"/>
        </w:rPr>
      </w:pPr>
      <w:r>
        <w:rPr>
          <w:sz w:val="24"/>
          <w:szCs w:val="24"/>
        </w:rPr>
        <w:t>Bray, M. (2014). The impact of shadow education on student academic achievement: Why the research is inconsistent and what can be done about it. Asia Pacific Education Review, 15(3), 381–389.</w:t>
      </w:r>
    </w:p>
    <w:p w14:paraId="63DDFAF9" w14:textId="77777777" w:rsidR="00000A72" w:rsidRDefault="00000000">
      <w:pPr>
        <w:spacing w:after="120" w:line="360" w:lineRule="auto"/>
        <w:ind w:left="720" w:hanging="720"/>
        <w:jc w:val="both"/>
        <w:rPr>
          <w:sz w:val="24"/>
          <w:szCs w:val="24"/>
        </w:rPr>
      </w:pPr>
      <w:r>
        <w:rPr>
          <w:sz w:val="24"/>
          <w:szCs w:val="24"/>
        </w:rPr>
        <w:t>Bray, M., &amp; Lykins, C. (2012). Shadow education: Private supplementary tutoring and its implications for policy makers in Asia. Asian Development Bank.</w:t>
      </w:r>
    </w:p>
    <w:p w14:paraId="55F21924" w14:textId="77777777" w:rsidR="00000A72" w:rsidRDefault="00000000">
      <w:pPr>
        <w:spacing w:after="120" w:line="360" w:lineRule="auto"/>
        <w:ind w:left="720" w:hanging="720"/>
        <w:jc w:val="both"/>
        <w:rPr>
          <w:sz w:val="24"/>
          <w:szCs w:val="24"/>
        </w:rPr>
      </w:pPr>
      <w:r>
        <w:rPr>
          <w:sz w:val="24"/>
          <w:szCs w:val="24"/>
        </w:rPr>
        <w:t>Brown, H. D. (2004). Language assessment: Principles and classroom practices. Pearson Longman.</w:t>
      </w:r>
    </w:p>
    <w:p w14:paraId="43BB6F7E" w14:textId="77777777" w:rsidR="00000A72" w:rsidRDefault="00000000">
      <w:pPr>
        <w:spacing w:after="120" w:line="360" w:lineRule="auto"/>
        <w:ind w:left="720" w:hanging="720"/>
        <w:jc w:val="both"/>
        <w:rPr>
          <w:sz w:val="24"/>
          <w:szCs w:val="24"/>
        </w:rPr>
      </w:pPr>
      <w:r>
        <w:rPr>
          <w:sz w:val="24"/>
          <w:szCs w:val="24"/>
        </w:rPr>
        <w:t>Brown, H. D. (2014). Principles of language learning and teaching (6th ed.). Pearson Education.</w:t>
      </w:r>
    </w:p>
    <w:p w14:paraId="08B10074" w14:textId="77777777" w:rsidR="00000A72" w:rsidRDefault="00000000">
      <w:pPr>
        <w:spacing w:after="120" w:line="360" w:lineRule="auto"/>
        <w:ind w:left="720" w:hanging="720"/>
        <w:jc w:val="both"/>
        <w:rPr>
          <w:sz w:val="24"/>
          <w:szCs w:val="24"/>
        </w:rPr>
      </w:pPr>
      <w:r>
        <w:rPr>
          <w:sz w:val="24"/>
          <w:szCs w:val="24"/>
        </w:rPr>
        <w:t>Burns, A. (2010). Doing action research in English language teaching: A guide for practitioners. Routledge.</w:t>
      </w:r>
    </w:p>
    <w:p w14:paraId="096B2727" w14:textId="77777777" w:rsidR="00000A72" w:rsidRDefault="00000000">
      <w:pPr>
        <w:spacing w:after="120" w:line="360" w:lineRule="auto"/>
        <w:ind w:left="720" w:hanging="720"/>
        <w:jc w:val="both"/>
        <w:rPr>
          <w:sz w:val="24"/>
          <w:szCs w:val="24"/>
        </w:rPr>
      </w:pPr>
      <w:r>
        <w:rPr>
          <w:sz w:val="24"/>
          <w:szCs w:val="24"/>
        </w:rPr>
        <w:t>Cohen, L., Manion, L., &amp; Morrison, K. (2018). Research methods in education (8th ed.). Routledge.</w:t>
      </w:r>
    </w:p>
    <w:p w14:paraId="6EC9C1CE" w14:textId="77777777" w:rsidR="00000A72" w:rsidRDefault="00000000">
      <w:pPr>
        <w:spacing w:after="120" w:line="360" w:lineRule="auto"/>
        <w:ind w:left="720" w:hanging="720"/>
        <w:jc w:val="both"/>
        <w:rPr>
          <w:sz w:val="24"/>
          <w:szCs w:val="24"/>
        </w:rPr>
      </w:pPr>
      <w:r>
        <w:rPr>
          <w:sz w:val="24"/>
          <w:szCs w:val="24"/>
        </w:rPr>
        <w:t>Creswell, J. W. (2014). Research design: Qualitative, quantitative, and mixed methods approaches (4th ed.). SAGE Publications.</w:t>
      </w:r>
    </w:p>
    <w:p w14:paraId="4D1CF658" w14:textId="77777777" w:rsidR="00000A72" w:rsidRDefault="00000000">
      <w:pPr>
        <w:spacing w:after="120" w:line="360" w:lineRule="auto"/>
        <w:ind w:left="720" w:hanging="720"/>
        <w:jc w:val="both"/>
        <w:rPr>
          <w:sz w:val="24"/>
          <w:szCs w:val="24"/>
        </w:rPr>
      </w:pPr>
      <w:r>
        <w:rPr>
          <w:sz w:val="24"/>
          <w:szCs w:val="24"/>
        </w:rPr>
        <w:t>Dörnyei, Z. (2001). Motivational strategies in the language classroom. Cambridge University Press.</w:t>
      </w:r>
    </w:p>
    <w:p w14:paraId="6B236735" w14:textId="77777777" w:rsidR="00000A72" w:rsidRDefault="00000000">
      <w:pPr>
        <w:spacing w:after="120" w:line="360" w:lineRule="auto"/>
        <w:ind w:left="720" w:hanging="720"/>
        <w:jc w:val="both"/>
        <w:rPr>
          <w:sz w:val="24"/>
          <w:szCs w:val="24"/>
        </w:rPr>
      </w:pPr>
      <w:r>
        <w:rPr>
          <w:sz w:val="24"/>
          <w:szCs w:val="24"/>
        </w:rPr>
        <w:t>Ellis, R. (2009). Corrective feedback and teacher development. L2 Journal, 1(1), 3–18.</w:t>
      </w:r>
    </w:p>
    <w:p w14:paraId="483B42E8" w14:textId="77777777" w:rsidR="00000A72" w:rsidRDefault="00000000">
      <w:pPr>
        <w:spacing w:after="120" w:line="360" w:lineRule="auto"/>
        <w:ind w:left="720" w:hanging="720"/>
        <w:jc w:val="both"/>
        <w:rPr>
          <w:sz w:val="24"/>
          <w:szCs w:val="24"/>
        </w:rPr>
      </w:pPr>
      <w:r>
        <w:rPr>
          <w:sz w:val="24"/>
          <w:szCs w:val="24"/>
        </w:rPr>
        <w:lastRenderedPageBreak/>
        <w:t>Finn, J. D., &amp; Achilles, C. M. (1990). Answers and questions about class size: A statewide experiment. American Educational Research Journal, 27(3), 557–577.</w:t>
      </w:r>
    </w:p>
    <w:p w14:paraId="2482926D" w14:textId="77777777" w:rsidR="00000A72" w:rsidRDefault="00000000">
      <w:pPr>
        <w:spacing w:after="120" w:line="360" w:lineRule="auto"/>
        <w:ind w:left="720" w:hanging="720"/>
        <w:jc w:val="both"/>
        <w:rPr>
          <w:sz w:val="24"/>
          <w:szCs w:val="24"/>
        </w:rPr>
      </w:pPr>
      <w:r>
        <w:rPr>
          <w:sz w:val="24"/>
          <w:szCs w:val="24"/>
        </w:rPr>
        <w:t>Fraenkel, J. R., Wallen, N. E., &amp; Hyun, H. H. (2012). How to design and evaluate research in education (8th ed.). McGraw-Hill.</w:t>
      </w:r>
    </w:p>
    <w:p w14:paraId="403838C3" w14:textId="77777777" w:rsidR="00000A72" w:rsidRDefault="00000000">
      <w:pPr>
        <w:spacing w:after="120" w:line="360" w:lineRule="auto"/>
        <w:ind w:left="720" w:hanging="720"/>
        <w:jc w:val="both"/>
        <w:rPr>
          <w:sz w:val="24"/>
          <w:szCs w:val="24"/>
        </w:rPr>
      </w:pPr>
      <w:r>
        <w:rPr>
          <w:sz w:val="24"/>
          <w:szCs w:val="24"/>
        </w:rPr>
        <w:t>Harmer, J. (2007). The practice of English language teaching (4th ed.). Pearson Longman.</w:t>
      </w:r>
    </w:p>
    <w:p w14:paraId="47E67086" w14:textId="77777777" w:rsidR="00000A72" w:rsidRDefault="00000000">
      <w:pPr>
        <w:spacing w:after="120" w:line="360" w:lineRule="auto"/>
        <w:ind w:left="720" w:hanging="720"/>
        <w:jc w:val="both"/>
        <w:rPr>
          <w:sz w:val="24"/>
          <w:szCs w:val="24"/>
        </w:rPr>
      </w:pPr>
      <w:r>
        <w:rPr>
          <w:sz w:val="24"/>
          <w:szCs w:val="24"/>
        </w:rPr>
        <w:t>Hughes, A. (2003). Testing for language teachers (2nd ed.). Cambridge University Press.</w:t>
      </w:r>
    </w:p>
    <w:p w14:paraId="6E779CCB" w14:textId="77777777" w:rsidR="00000A72" w:rsidRDefault="00000000">
      <w:pPr>
        <w:spacing w:after="120" w:line="360" w:lineRule="auto"/>
        <w:ind w:left="720" w:hanging="720"/>
        <w:jc w:val="both"/>
        <w:rPr>
          <w:sz w:val="24"/>
          <w:szCs w:val="24"/>
        </w:rPr>
      </w:pPr>
      <w:r>
        <w:rPr>
          <w:sz w:val="24"/>
          <w:szCs w:val="24"/>
        </w:rPr>
        <w:t>Kim, J. (2007). The effect of a voluntary summer reading intervention on reading activities and reading achievement. Journal of Educational Psychology, 99(3), 505–515.</w:t>
      </w:r>
    </w:p>
    <w:p w14:paraId="7DC708F6" w14:textId="77777777" w:rsidR="00000A72" w:rsidRDefault="00000000">
      <w:pPr>
        <w:spacing w:after="120" w:line="360" w:lineRule="auto"/>
        <w:ind w:left="720" w:hanging="720"/>
        <w:jc w:val="both"/>
        <w:rPr>
          <w:sz w:val="24"/>
          <w:szCs w:val="24"/>
        </w:rPr>
      </w:pPr>
      <w:r>
        <w:rPr>
          <w:sz w:val="24"/>
          <w:szCs w:val="24"/>
        </w:rPr>
        <w:t>Krashen, S. D. (1982). Principles and practice in second language acquisition. Pergamon Press.</w:t>
      </w:r>
    </w:p>
    <w:p w14:paraId="57AFB0E3" w14:textId="77777777" w:rsidR="00000A72" w:rsidRDefault="00000000">
      <w:pPr>
        <w:spacing w:after="120" w:line="360" w:lineRule="auto"/>
        <w:ind w:left="720" w:hanging="720"/>
        <w:jc w:val="both"/>
        <w:rPr>
          <w:sz w:val="24"/>
          <w:szCs w:val="24"/>
        </w:rPr>
      </w:pPr>
      <w:r>
        <w:rPr>
          <w:sz w:val="24"/>
          <w:szCs w:val="24"/>
        </w:rPr>
        <w:t>Nation, I. S. P. (2001). Learning vocabulary in another language. Cambridge University Press.</w:t>
      </w:r>
    </w:p>
    <w:p w14:paraId="0A21E77C" w14:textId="77777777" w:rsidR="00000A72" w:rsidRDefault="00000000">
      <w:pPr>
        <w:spacing w:after="120" w:line="360" w:lineRule="auto"/>
        <w:ind w:left="720" w:hanging="720"/>
        <w:jc w:val="both"/>
        <w:rPr>
          <w:sz w:val="24"/>
          <w:szCs w:val="24"/>
        </w:rPr>
      </w:pPr>
      <w:r>
        <w:rPr>
          <w:sz w:val="24"/>
          <w:szCs w:val="24"/>
        </w:rPr>
        <w:t>Richards, J. C., &amp; Rodgers, T. S. (2014). Approaches and methods in language teaching (3rd ed.). Cambridge University Press.</w:t>
      </w:r>
    </w:p>
    <w:p w14:paraId="51BA2C8E" w14:textId="77777777" w:rsidR="00000A72" w:rsidRDefault="00000000">
      <w:pPr>
        <w:spacing w:after="120" w:line="360" w:lineRule="auto"/>
        <w:ind w:left="720" w:hanging="720"/>
        <w:jc w:val="both"/>
        <w:rPr>
          <w:sz w:val="24"/>
          <w:szCs w:val="24"/>
        </w:rPr>
      </w:pPr>
      <w:r>
        <w:rPr>
          <w:sz w:val="24"/>
          <w:szCs w:val="24"/>
        </w:rPr>
        <w:t>Slavin, R. E. (1987). Mastery learning reconsidered. Review of Educational Research, 57(2), 175–213.</w:t>
      </w:r>
    </w:p>
    <w:p w14:paraId="6E4C1960" w14:textId="77777777" w:rsidR="00000A72" w:rsidRDefault="00000000">
      <w:pPr>
        <w:spacing w:after="120" w:line="360" w:lineRule="auto"/>
        <w:ind w:left="720" w:hanging="720"/>
        <w:jc w:val="both"/>
        <w:rPr>
          <w:sz w:val="24"/>
          <w:szCs w:val="24"/>
        </w:rPr>
      </w:pPr>
      <w:r>
        <w:rPr>
          <w:sz w:val="24"/>
          <w:szCs w:val="24"/>
        </w:rPr>
        <w:t>Vygotsky, L. S. (1978). Mind in society: The development of higher psychological processes. Harvard University Press.</w:t>
      </w:r>
    </w:p>
    <w:p w14:paraId="78767740" w14:textId="77777777" w:rsidR="00000A72" w:rsidRDefault="00000000">
      <w:pPr>
        <w:spacing w:after="120" w:line="360" w:lineRule="auto"/>
        <w:ind w:left="720" w:hanging="720"/>
        <w:jc w:val="both"/>
        <w:rPr>
          <w:sz w:val="24"/>
          <w:szCs w:val="24"/>
        </w:rPr>
      </w:pPr>
      <w:r>
        <w:rPr>
          <w:sz w:val="24"/>
          <w:szCs w:val="24"/>
        </w:rPr>
        <w:t>Watanabe, Y. (2000). Private tutoring and its impact on students' learning, school performance, and the school system in Japan. Hiroshima University.</w:t>
      </w:r>
    </w:p>
    <w:p w14:paraId="73C9CA5B" w14:textId="77777777" w:rsidR="00000A72" w:rsidRDefault="00000000">
      <w:pPr>
        <w:spacing w:after="120" w:line="360" w:lineRule="auto"/>
        <w:ind w:left="720" w:hanging="720"/>
        <w:jc w:val="both"/>
        <w:rPr>
          <w:sz w:val="24"/>
          <w:szCs w:val="24"/>
        </w:rPr>
      </w:pPr>
      <w:r>
        <w:rPr>
          <w:sz w:val="24"/>
          <w:szCs w:val="24"/>
        </w:rPr>
        <w:t>Zhang, W., &amp; Bray, M. (2017). Micro-level analyses of shadow education: Evidence from Hong Kong primary and secondary school students. Journal of Education Policy, 32(5), 602–622.</w:t>
      </w:r>
    </w:p>
    <w:p w14:paraId="1F650BDB" w14:textId="77777777" w:rsidR="00000A72" w:rsidRDefault="00000A72">
      <w:pPr>
        <w:spacing w:after="120" w:line="360" w:lineRule="auto"/>
        <w:ind w:hanging="2"/>
        <w:jc w:val="both"/>
        <w:rPr>
          <w:b/>
          <w:bCs/>
          <w:color w:val="000000"/>
          <w:sz w:val="24"/>
          <w:szCs w:val="24"/>
        </w:rPr>
      </w:pPr>
    </w:p>
    <w:p w14:paraId="0284A1B6" w14:textId="77777777" w:rsidR="00000A72" w:rsidRDefault="00000A72">
      <w:pPr>
        <w:spacing w:after="120" w:line="360" w:lineRule="auto"/>
        <w:ind w:hanging="2"/>
        <w:jc w:val="both"/>
        <w:rPr>
          <w:color w:val="000000"/>
          <w:sz w:val="24"/>
          <w:szCs w:val="24"/>
          <w:lang w:val="zh-CN"/>
        </w:rPr>
      </w:pPr>
    </w:p>
    <w:p w14:paraId="353C6BBB" w14:textId="77777777" w:rsidR="00000A72" w:rsidRDefault="00000A72">
      <w:pPr>
        <w:spacing w:after="120" w:line="360" w:lineRule="auto"/>
        <w:ind w:hanging="2"/>
        <w:jc w:val="both"/>
        <w:rPr>
          <w:color w:val="000000"/>
          <w:sz w:val="24"/>
          <w:szCs w:val="24"/>
        </w:rPr>
      </w:pPr>
    </w:p>
    <w:sectPr w:rsidR="00000A72" w:rsidSect="00C461AF">
      <w:type w:val="continuous"/>
      <w:pgSz w:w="11906" w:h="16838"/>
      <w:pgMar w:top="1411" w:right="1411" w:bottom="1411" w:left="141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2CEE2" w14:textId="77777777" w:rsidR="00701C50" w:rsidRDefault="00701C50">
      <w:r>
        <w:separator/>
      </w:r>
    </w:p>
  </w:endnote>
  <w:endnote w:type="continuationSeparator" w:id="0">
    <w:p w14:paraId="75C14750" w14:textId="77777777" w:rsidR="00701C50" w:rsidRDefault="0070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EBFBED9-7F23-44B3-BB6B-5969ADBE9854}"/>
  </w:font>
  <w:font w:name="Rockwell">
    <w:charset w:val="00"/>
    <w:family w:val="roman"/>
    <w:pitch w:val="variable"/>
    <w:sig w:usb0="00000003" w:usb1="00000000" w:usb2="00000000" w:usb3="00000000" w:csb0="00000001" w:csb1="00000000"/>
    <w:embedRegular r:id="rId2" w:fontKey="{C6EA504E-4BFD-4503-B6A7-99E02977CFA2}"/>
    <w:embedBold r:id="rId3" w:fontKey="{B0CA444F-8268-48D6-BFE1-BD306A7F3E18}"/>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1E2C" w14:textId="77777777" w:rsidR="00000A72" w:rsidRDefault="00000A72">
    <w:pP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52F4" w14:textId="77777777" w:rsidR="00000A72" w:rsidRDefault="00000A72">
    <w:pPr>
      <w:tabs>
        <w:tab w:val="right" w:pos="9070"/>
      </w:tabs>
      <w:ind w:hanging="2"/>
      <w:jc w:val="center"/>
      <w:rPr>
        <w:rFonts w:ascii="Rockwell" w:eastAsia="Rockwell" w:hAnsi="Rockwell" w:cs="Rockwell"/>
        <w:color w:val="14304D"/>
        <w:sz w:val="16"/>
        <w:szCs w:val="16"/>
        <w:highlight w:val="white"/>
      </w:rPr>
    </w:pPr>
  </w:p>
  <w:p w14:paraId="0F5739F4" w14:textId="77777777" w:rsidR="00000A72" w:rsidRDefault="00000000">
    <w:pP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2056FAEB" w14:textId="77777777" w:rsidR="00000A72" w:rsidRDefault="00000000">
    <w:pP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43E4C277" w14:textId="77777777" w:rsidR="00000A72" w:rsidRDefault="00000000">
    <w:pP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3A0538CE" w14:textId="46C07278" w:rsidR="00000A72" w:rsidRDefault="00C461AF" w:rsidP="00C461AF">
    <w:pPr>
      <w:ind w:hanging="2"/>
      <w:jc w:val="center"/>
      <w:rPr>
        <w:color w:val="000000"/>
      </w:rPr>
    </w:pPr>
    <w:r w:rsidRPr="00C461AF">
      <w:rPr>
        <w:color w:val="000000"/>
      </w:rPr>
      <w:fldChar w:fldCharType="begin"/>
    </w:r>
    <w:r w:rsidRPr="00C461AF">
      <w:rPr>
        <w:color w:val="000000"/>
      </w:rPr>
      <w:instrText xml:space="preserve"> PAGE   \* MERGEFORMAT </w:instrText>
    </w:r>
    <w:r w:rsidRPr="00C461AF">
      <w:rPr>
        <w:color w:val="000000"/>
      </w:rPr>
      <w:fldChar w:fldCharType="separate"/>
    </w:r>
    <w:r w:rsidRPr="00C461AF">
      <w:rPr>
        <w:noProof/>
        <w:color w:val="000000"/>
      </w:rPr>
      <w:t>1</w:t>
    </w:r>
    <w:r w:rsidRPr="00C461AF">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9BA5" w14:textId="77777777" w:rsidR="00000A72" w:rsidRDefault="00000000">
    <w:pP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3885CB1B" w14:textId="77777777" w:rsidR="00000A72" w:rsidRDefault="00000000">
    <w:pP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7FCD8D31" w14:textId="77777777" w:rsidR="00000A72" w:rsidRDefault="00000000">
    <w:pP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22F9435E" w14:textId="4F9A33BB" w:rsidR="00C461AF" w:rsidRPr="00C461AF" w:rsidRDefault="00C461AF">
    <w:pPr>
      <w:tabs>
        <w:tab w:val="right" w:pos="9070"/>
      </w:tabs>
      <w:ind w:hanging="2"/>
      <w:jc w:val="center"/>
      <w:rPr>
        <w:rFonts w:eastAsia="Rockwell"/>
        <w:color w:val="000000"/>
      </w:rPr>
    </w:pPr>
    <w:r w:rsidRPr="00C461AF">
      <w:rPr>
        <w:rFonts w:eastAsia="Rockwell"/>
        <w:color w:val="000000"/>
      </w:rPr>
      <w:fldChar w:fldCharType="begin"/>
    </w:r>
    <w:r w:rsidRPr="00C461AF">
      <w:rPr>
        <w:rFonts w:eastAsia="Rockwell"/>
        <w:color w:val="000000"/>
      </w:rPr>
      <w:instrText xml:space="preserve"> PAGE   \* MERGEFORMAT </w:instrText>
    </w:r>
    <w:r w:rsidRPr="00C461AF">
      <w:rPr>
        <w:rFonts w:eastAsia="Rockwell"/>
        <w:color w:val="000000"/>
      </w:rPr>
      <w:fldChar w:fldCharType="separate"/>
    </w:r>
    <w:r w:rsidRPr="00C461AF">
      <w:rPr>
        <w:rFonts w:eastAsia="Rockwell"/>
        <w:noProof/>
        <w:color w:val="000000"/>
      </w:rPr>
      <w:t>1</w:t>
    </w:r>
    <w:r w:rsidRPr="00C461AF">
      <w:rPr>
        <w:rFonts w:eastAsia="Rockwell"/>
        <w:noProof/>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858E" w14:textId="77777777" w:rsidR="00701C50" w:rsidRDefault="00701C50">
      <w:r>
        <w:separator/>
      </w:r>
    </w:p>
  </w:footnote>
  <w:footnote w:type="continuationSeparator" w:id="0">
    <w:p w14:paraId="6AD09ED5" w14:textId="77777777" w:rsidR="00701C50" w:rsidRDefault="0070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006C" w14:textId="77777777" w:rsidR="00000A72" w:rsidRDefault="00000A72">
    <w:pP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9651" w14:textId="77777777" w:rsidR="00000A72" w:rsidRDefault="00000A72">
    <w:pP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AF92" w14:textId="77777777" w:rsidR="00C461AF" w:rsidRDefault="00C461AF" w:rsidP="00C461AF">
    <w:pPr>
      <w:tabs>
        <w:tab w:val="left" w:pos="1650"/>
      </w:tabs>
      <w:ind w:firstLine="0"/>
      <w:jc w:val="center"/>
      <w:rPr>
        <w:color w:val="000000"/>
      </w:rPr>
    </w:pPr>
    <w:r>
      <w:rPr>
        <w:noProof/>
        <w:color w:val="000000"/>
      </w:rPr>
      <w:drawing>
        <wp:inline distT="0" distB="0" distL="0" distR="0" wp14:anchorId="7ED7E361" wp14:editId="3B3B01A4">
          <wp:extent cx="2844165" cy="1182370"/>
          <wp:effectExtent l="0" t="0" r="0" b="0"/>
          <wp:docPr id="1369207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59761" name="Picture 1"/>
                  <pic:cNvPicPr>
                    <a:picLocks noChangeAspect="1"/>
                  </pic:cNvPicPr>
                </pic:nvPicPr>
                <pic:blipFill>
                  <a:blip r:embed="rId1">
                    <a:extLst>
                      <a:ext uri="{28A0092B-C50C-407E-A947-70E740481C1C}">
                        <a14:useLocalDpi xmlns:a14="http://schemas.microsoft.com/office/drawing/2010/main" val="0"/>
                      </a:ext>
                    </a:extLst>
                  </a:blip>
                  <a:srcRect t="17020" b="7489"/>
                  <a:stretch>
                    <a:fillRect/>
                  </a:stretch>
                </pic:blipFill>
                <pic:spPr>
                  <a:xfrm>
                    <a:off x="0" y="0"/>
                    <a:ext cx="2870798" cy="1193263"/>
                  </a:xfrm>
                  <a:prstGeom prst="rect">
                    <a:avLst/>
                  </a:prstGeom>
                  <a:ln>
                    <a:noFill/>
                  </a:ln>
                </pic:spPr>
              </pic:pic>
            </a:graphicData>
          </a:graphic>
        </wp:inline>
      </w:drawing>
    </w:r>
  </w:p>
  <w:p w14:paraId="1807396D" w14:textId="77777777" w:rsidR="00C461AF" w:rsidRDefault="00C461AF" w:rsidP="00C461AF">
    <w:pPr>
      <w:pBdr>
        <w:bottom w:val="single" w:sz="6" w:space="0" w:color="auto"/>
      </w:pBdr>
      <w:tabs>
        <w:tab w:val="left" w:pos="1650"/>
      </w:tabs>
      <w:ind w:firstLine="0"/>
      <w:jc w:val="center"/>
      <w:rPr>
        <w:color w:val="000000"/>
      </w:rPr>
    </w:pPr>
  </w:p>
  <w:p w14:paraId="6832C5B7" w14:textId="77777777" w:rsidR="00C461AF" w:rsidRDefault="00C461AF" w:rsidP="00C461AF">
    <w:pPr>
      <w:tabs>
        <w:tab w:val="left" w:pos="1650"/>
      </w:tabs>
      <w:ind w:firstLine="0"/>
      <w:rPr>
        <w:color w:val="000000"/>
      </w:rPr>
    </w:pPr>
  </w:p>
  <w:p w14:paraId="5D449FC0" w14:textId="77777777" w:rsidR="00000A72" w:rsidRPr="00C461AF" w:rsidRDefault="00000A72" w:rsidP="00C461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00A72"/>
    <w:rsid w:val="00056B5B"/>
    <w:rsid w:val="00082162"/>
    <w:rsid w:val="000E1E34"/>
    <w:rsid w:val="002337F0"/>
    <w:rsid w:val="003101BF"/>
    <w:rsid w:val="00374A05"/>
    <w:rsid w:val="00535505"/>
    <w:rsid w:val="005A1B9E"/>
    <w:rsid w:val="00701C50"/>
    <w:rsid w:val="0071505F"/>
    <w:rsid w:val="007828F8"/>
    <w:rsid w:val="007858BF"/>
    <w:rsid w:val="007B4A14"/>
    <w:rsid w:val="00AD3821"/>
    <w:rsid w:val="00B856CD"/>
    <w:rsid w:val="00C461AF"/>
    <w:rsid w:val="00D66615"/>
    <w:rsid w:val="00DC5688"/>
    <w:rsid w:val="00F60806"/>
    <w:rsid w:val="00F67708"/>
    <w:rsid w:val="550954C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931C36E"/>
  <w15:docId w15:val="{78F60E14-ED13-495A-A3C3-3BEBFFCA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
    </w:pPr>
    <w:rPr>
      <w:sz w:val="22"/>
      <w:szCs w:val="22"/>
      <w:lang w:val="de" w:eastAsia="zh-CN"/>
    </w:rPr>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Header">
    <w:name w:val="header"/>
    <w:basedOn w:val="Normal"/>
    <w:link w:val="HeaderChar"/>
    <w:uiPriority w:val="99"/>
    <w:semiHidden/>
    <w:unhideWhenUsed/>
    <w:rsid w:val="00C461AF"/>
    <w:pPr>
      <w:tabs>
        <w:tab w:val="center" w:pos="4513"/>
        <w:tab w:val="right" w:pos="9026"/>
      </w:tabs>
    </w:pPr>
  </w:style>
  <w:style w:type="character" w:customStyle="1" w:styleId="HeaderChar">
    <w:name w:val="Header Char"/>
    <w:basedOn w:val="DefaultParagraphFont"/>
    <w:link w:val="Header"/>
    <w:uiPriority w:val="99"/>
    <w:semiHidden/>
    <w:rsid w:val="00C461AF"/>
    <w:rPr>
      <w:sz w:val="22"/>
      <w:szCs w:val="22"/>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3010</Words>
  <Characters>17159</Characters>
  <Application>Microsoft Office Word</Application>
  <DocSecurity>0</DocSecurity>
  <Lines>142</Lines>
  <Paragraphs>40</Paragraphs>
  <ScaleCrop>false</ScaleCrop>
  <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ADMIN</cp:lastModifiedBy>
  <cp:revision>6</cp:revision>
  <dcterms:created xsi:type="dcterms:W3CDTF">2026-05-10T12:39:00Z</dcterms:created>
  <dcterms:modified xsi:type="dcterms:W3CDTF">2026-08-03T02:34:00Z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eyJoZGlkIjoiZmQ2MDgwZTc3NjFiNGE5ZmI3Mjc3YjFlOGQ0OThiNzUiLCJ1c2VySWQiOiI5Nzk5MDc4NDc3MjgifQ==</vt:lpwstr>
  </property>
  <property fmtid="{D5CDD505-2E9C-101B-9397-08002B2CF9AE}" pid="3" name="KSOProductBuildVer">
    <vt:lpwstr>1033-12.1.0.26880</vt:lpwstr>
  </property>
  <property fmtid="{D5CDD505-2E9C-101B-9397-08002B2CF9AE}" pid="4" name="ICV">
    <vt:lpwstr>687EB16A286343428BC3DC85D946C01D_12</vt:lpwstr>
  </property>
</Properties>
</file>