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88FB7" w14:textId="0E507C02" w:rsidR="00A861FC" w:rsidRDefault="00A861FC" w:rsidP="00A861FC">
      <w:pPr>
        <w:jc w:val="center"/>
        <w:rPr>
          <w:color w:val="000000"/>
        </w:rPr>
      </w:pPr>
      <w:r>
        <w:rPr>
          <w:noProof/>
          <w:color w:val="000000"/>
        </w:rPr>
        <w:drawing>
          <wp:anchor distT="0" distB="0" distL="114300" distR="114300" simplePos="0" relativeHeight="251660288" behindDoc="1" locked="0" layoutInCell="1" allowOverlap="1" wp14:anchorId="1B7B22A6" wp14:editId="40B223CE">
            <wp:simplePos x="0" y="0"/>
            <wp:positionH relativeFrom="margin">
              <wp:align>center</wp:align>
            </wp:positionH>
            <wp:positionV relativeFrom="paragraph">
              <wp:posOffset>-684530</wp:posOffset>
            </wp:positionV>
            <wp:extent cx="2844165" cy="1182370"/>
            <wp:effectExtent l="0" t="0" r="0" b="0"/>
            <wp:wrapNone/>
            <wp:docPr id="1" name="ICE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ELS Logo"/>
                    <pic:cNvPicPr>
                      <a:picLocks noChangeAspect="1"/>
                    </pic:cNvPicPr>
                  </pic:nvPicPr>
                  <pic:blipFill>
                    <a:blip r:embed="rId8">
                      <a:extLst>
                        <a:ext uri="{28A0092B-C50C-407E-A947-70E740481C1C}">
                          <a14:useLocalDpi xmlns:a14="http://schemas.microsoft.com/office/drawing/2010/main" val="0"/>
                        </a:ext>
                      </a:extLst>
                    </a:blip>
                    <a:srcRect t="17020" b="7489"/>
                    <a:stretch>
                      <a:fillRect/>
                    </a:stretch>
                  </pic:blipFill>
                  <pic:spPr>
                    <a:xfrm>
                      <a:off x="0" y="0"/>
                      <a:ext cx="2844165" cy="1182370"/>
                    </a:xfrm>
                    <a:prstGeom prst="rect">
                      <a:avLst/>
                    </a:prstGeom>
                    <a:ln>
                      <a:noFill/>
                    </a:ln>
                  </pic:spPr>
                </pic:pic>
              </a:graphicData>
            </a:graphic>
          </wp:anchor>
        </w:drawing>
      </w:r>
    </w:p>
    <w:p w14:paraId="7D59F191" w14:textId="77777777" w:rsidR="00A861FC" w:rsidRDefault="00A861FC" w:rsidP="00A861FC">
      <w:pPr>
        <w:jc w:val="center"/>
        <w:rPr>
          <w:color w:val="000000"/>
        </w:rPr>
      </w:pPr>
    </w:p>
    <w:p w14:paraId="01CC579E" w14:textId="15198002" w:rsidR="00A861FC" w:rsidRDefault="00A861FC" w:rsidP="00A861FC">
      <w:pPr>
        <w:jc w:val="center"/>
        <w:rPr>
          <w:color w:val="000000"/>
        </w:rPr>
      </w:pPr>
    </w:p>
    <w:p w14:paraId="174A058B" w14:textId="77777777" w:rsidR="00A861FC" w:rsidRDefault="00A861FC" w:rsidP="00A861FC">
      <w:pPr>
        <w:pBdr>
          <w:bottom w:val="single" w:sz="6" w:space="1" w:color="auto"/>
        </w:pBdr>
        <w:jc w:val="center"/>
        <w:rPr>
          <w:color w:val="000000"/>
        </w:rPr>
      </w:pPr>
    </w:p>
    <w:p w14:paraId="0DC3615F" w14:textId="77777777" w:rsidR="00A861FC" w:rsidRDefault="00A861FC" w:rsidP="00A861FC">
      <w:pPr>
        <w:rPr>
          <w:color w:val="000000"/>
        </w:rPr>
      </w:pPr>
    </w:p>
    <w:p w14:paraId="5CB00079" w14:textId="77777777" w:rsidR="00873863" w:rsidRDefault="00B671FB" w:rsidP="00A861FC">
      <w:pPr>
        <w:spacing w:after="120"/>
      </w:pPr>
      <w:r>
        <w:rPr>
          <w:rFonts w:ascii="Arial" w:eastAsia="Arial" w:hAnsi="Arial" w:cs="Arial"/>
          <w:b/>
          <w:bCs/>
          <w:sz w:val="28"/>
          <w:szCs w:val="28"/>
        </w:rPr>
        <w:t>Why They Come to Pare: Understanding Motivation Among English Learners at Gaza English Course</w:t>
      </w:r>
    </w:p>
    <w:p w14:paraId="670F0AC8" w14:textId="77777777" w:rsidR="00873863" w:rsidRDefault="00B671FB" w:rsidP="00A861FC">
      <w:pPr>
        <w:spacing w:after="60"/>
      </w:pPr>
      <w:r>
        <w:rPr>
          <w:rFonts w:ascii="Arial" w:eastAsia="Arial" w:hAnsi="Arial" w:cs="Arial"/>
          <w:i/>
          <w:iCs/>
        </w:rPr>
        <w:t>Anis Sahara¹</w:t>
      </w:r>
    </w:p>
    <w:p w14:paraId="471D78EA" w14:textId="77777777" w:rsidR="00873863" w:rsidRDefault="00B671FB" w:rsidP="00A861FC">
      <w:pPr>
        <w:spacing w:after="60"/>
      </w:pPr>
      <w:r>
        <w:rPr>
          <w:rFonts w:ascii="Arial" w:eastAsia="Arial" w:hAnsi="Arial" w:cs="Arial"/>
          <w:i/>
          <w:iCs/>
        </w:rPr>
        <w:t>¹ English Education Department, Universitas Islam Kadiri, Indonesia</w:t>
      </w:r>
    </w:p>
    <w:p w14:paraId="50B4962D" w14:textId="302E59EA" w:rsidR="00873863" w:rsidRDefault="00B671FB" w:rsidP="00A861FC">
      <w:pPr>
        <w:spacing w:after="280"/>
        <w:rPr>
          <w:rFonts w:ascii="Arial" w:eastAsia="Arial" w:hAnsi="Arial" w:cs="Arial"/>
          <w:i/>
          <w:iCs/>
        </w:rPr>
      </w:pPr>
      <w:r>
        <w:rPr>
          <w:rFonts w:ascii="Arial" w:eastAsia="Arial" w:hAnsi="Arial" w:cs="Arial"/>
          <w:i/>
          <w:iCs/>
        </w:rPr>
        <w:t xml:space="preserve">Corresponding author’s e-mail: </w:t>
      </w:r>
      <w:hyperlink r:id="rId9" w:history="1">
        <w:r w:rsidR="004C46DA" w:rsidRPr="0095555F">
          <w:rPr>
            <w:rStyle w:val="Hyperlink"/>
            <w:rFonts w:ascii="Arial" w:eastAsia="Arial" w:hAnsi="Arial" w:cs="Arial"/>
            <w:i/>
            <w:iCs/>
          </w:rPr>
          <w:t>a.sahara@student.uniska.ac.id</w:t>
        </w:r>
      </w:hyperlink>
    </w:p>
    <w:p w14:paraId="0F3A8896" w14:textId="24AAD866" w:rsidR="004C46DA" w:rsidRDefault="004C46DA">
      <w:pPr>
        <w:spacing w:after="280"/>
        <w:jc w:val="center"/>
      </w:pPr>
      <w:r w:rsidRPr="00510731">
        <w:rPr>
          <w:noProof/>
        </w:rPr>
        <mc:AlternateContent>
          <mc:Choice Requires="wps">
            <w:drawing>
              <wp:anchor distT="0" distB="0" distL="114300" distR="114300" simplePos="0" relativeHeight="251659264" behindDoc="0" locked="0" layoutInCell="1" allowOverlap="1" wp14:anchorId="493C9653" wp14:editId="243DC222">
                <wp:simplePos x="0" y="0"/>
                <wp:positionH relativeFrom="margin">
                  <wp:align>right</wp:align>
                </wp:positionH>
                <wp:positionV relativeFrom="paragraph">
                  <wp:posOffset>38734</wp:posOffset>
                </wp:positionV>
                <wp:extent cx="5759450" cy="0"/>
                <wp:effectExtent l="0" t="0" r="0" b="0"/>
                <wp:wrapNone/>
                <wp:docPr id="2125849312" name="Straight Connector 2"/>
                <wp:cNvGraphicFramePr/>
                <a:graphic xmlns:a="http://schemas.openxmlformats.org/drawingml/2006/main">
                  <a:graphicData uri="http://schemas.microsoft.com/office/word/2010/wordprocessingShape">
                    <wps:wsp>
                      <wps:cNvCnPr/>
                      <wps:spPr>
                        <a:xfrm flipV="1">
                          <a:off x="0" y="0"/>
                          <a:ext cx="57594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2ABA47" id="Straight Connector 2"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2.3pt,3.05pt" to="855.8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" strokecolor="black [3200]" strokeweight="1pt">
                <v:stroke joinstyle="miter"/>
                <w10:wrap anchorx="margin"/>
              </v:line>
            </w:pict>
          </mc:Fallback>
        </mc:AlternateContent>
      </w:r>
    </w:p>
    <w:p w14:paraId="3AF22F23" w14:textId="77777777" w:rsidR="00873863" w:rsidRDefault="00B671FB">
      <w:pPr>
        <w:spacing w:after="120"/>
        <w:jc w:val="center"/>
      </w:pPr>
      <w:r>
        <w:rPr>
          <w:rFonts w:ascii="Arial" w:eastAsia="Arial" w:hAnsi="Arial" w:cs="Arial"/>
          <w:b/>
          <w:bCs/>
          <w:sz w:val="24"/>
          <w:szCs w:val="24"/>
        </w:rPr>
        <w:t>ABSTRACT</w:t>
      </w:r>
    </w:p>
    <w:p w14:paraId="7807360A" w14:textId="220CF91D" w:rsidR="00873863" w:rsidRDefault="00B671FB">
      <w:pPr>
        <w:spacing w:after="120"/>
        <w:jc w:val="both"/>
      </w:pPr>
      <w:r>
        <w:rPr>
          <w:rFonts w:ascii="Arial" w:eastAsia="Arial" w:hAnsi="Arial" w:cs="Arial"/>
          <w:sz w:val="22"/>
          <w:szCs w:val="22"/>
        </w:rPr>
        <w:t xml:space="preserve">English has become an essential global language, yet Indonesia continues to rank low in English proficiency, placing 79th out of 113 countries in the EF English Proficiency Index 2023. While motivation has been widely recognized as a central factor in second language acquisition, most existing studies have focused on formal educational settings such as schools and universities, leaving non-formal learning environments largely underexplored. This study aims to investigate learners’ motivation in learning English at Gaza English Course, an English language institution located in Kampung </w:t>
      </w:r>
      <w:proofErr w:type="spellStart"/>
      <w:r>
        <w:rPr>
          <w:rFonts w:ascii="Arial" w:eastAsia="Arial" w:hAnsi="Arial" w:cs="Arial"/>
          <w:sz w:val="22"/>
          <w:szCs w:val="22"/>
        </w:rPr>
        <w:t>Inggris</w:t>
      </w:r>
      <w:proofErr w:type="spellEnd"/>
      <w:r>
        <w:rPr>
          <w:rFonts w:ascii="Arial" w:eastAsia="Arial" w:hAnsi="Arial" w:cs="Arial"/>
          <w:sz w:val="22"/>
          <w:szCs w:val="22"/>
        </w:rPr>
        <w:t xml:space="preserve"> Pare, Kediri, East Java, which is well known for its immersive learning environment. Specifically, this research explores the motivational factors that drive participants to learn English, describes their learning experiences at Gaza English Course, and examines the factors that support and hinder their motivation throughout the program. This study employs a qualitative approach using an instrumental case study design. Data were collected through semi-structured in-depth interviews, non-participant observation, and document analysis involving 6–8 purposively selected participants who were actively enrolled in the program. Data were </w:t>
      </w:r>
      <w:proofErr w:type="spellStart"/>
      <w:r>
        <w:rPr>
          <w:rFonts w:ascii="Arial" w:eastAsia="Arial" w:hAnsi="Arial" w:cs="Arial"/>
          <w:sz w:val="22"/>
          <w:szCs w:val="22"/>
        </w:rPr>
        <w:t>analyzed</w:t>
      </w:r>
      <w:proofErr w:type="spellEnd"/>
      <w:r>
        <w:rPr>
          <w:rFonts w:ascii="Arial" w:eastAsia="Arial" w:hAnsi="Arial" w:cs="Arial"/>
          <w:sz w:val="22"/>
          <w:szCs w:val="22"/>
        </w:rPr>
        <w:t xml:space="preserve"> using reflexive thematic analysis guided by </w:t>
      </w:r>
      <w:r w:rsidR="001233E8">
        <w:rPr>
          <w:rFonts w:ascii="Arial" w:eastAsia="Arial" w:hAnsi="Arial" w:cs="Arial"/>
          <w:sz w:val="22"/>
          <w:szCs w:val="22"/>
        </w:rPr>
        <w:fldChar w:fldCharType="begin" w:fldLock="1"/>
      </w:r>
      <w:r w:rsidR="001233E8">
        <w:rPr>
          <w:rFonts w:ascii="Arial" w:eastAsia="Arial" w:hAnsi="Arial" w:cs="Arial"/>
          <w:sz w:val="22"/>
          <w:szCs w:val="22"/>
        </w:rPr>
        <w:instrText>ADDIN CSL_CITATION {"citationItems":[{"id":"ITEM-1","itemData":{"DOI":"10.1177/1609406917733847","author":[{"dropping-particle":"","family":"Nowell","given":"Lorelli S","non-dropping-particle":"","parse-names":false,"suffix":""},{"dropping-particle":"","family":"Norris","given":"Jill M","non-dropping-particle":"","parse-names":false,"suffix":""},{"dropping-particle":"","family":"White","given":"Deborah E","non-dropping-particle":"","parse-names":false,"suffix":""},{"dropping-particle":"","family":"Moules","given":"Nancy J","non-dropping-particle":"","parse-names":false,"suffix":""}],"id":"ITEM-1","issued":{"date-parts":[["2017"]]},"page":"1-13","title":"Thematic Analysis : Striving to Meet the Trustworthiness Criteria","type":"article-journal","volume":"16"},"uris":["http://www.mendeley.com/documents/?uuid=e37c6387-b26c-44e0-8fa5-3a198fd79ccd"]}],"mendeley":{"formattedCitation":"(Nowell &lt;i&gt;et al.&lt;/i&gt;, 2017)","plainTextFormattedCitation":"(Nowell et al., 2017)","previouslyFormattedCitation":"(Nowell &lt;i&gt;et al.&lt;/i&gt;, 2017)"},"properties":{"noteIndex":0},"schema":"https://github.com/citation-style-language/schema/raw/master/csl-citation.json"}</w:instrText>
      </w:r>
      <w:r w:rsidR="001233E8">
        <w:rPr>
          <w:rFonts w:ascii="Arial" w:eastAsia="Arial" w:hAnsi="Arial" w:cs="Arial"/>
          <w:sz w:val="22"/>
          <w:szCs w:val="22"/>
        </w:rPr>
        <w:fldChar w:fldCharType="separate"/>
      </w:r>
      <w:r w:rsidR="001233E8" w:rsidRPr="001233E8">
        <w:rPr>
          <w:rFonts w:ascii="Arial" w:eastAsia="Arial" w:hAnsi="Arial" w:cs="Arial"/>
          <w:noProof/>
          <w:sz w:val="22"/>
          <w:szCs w:val="22"/>
        </w:rPr>
        <w:t xml:space="preserve">(Nowell </w:t>
      </w:r>
      <w:r w:rsidR="001233E8" w:rsidRPr="001233E8">
        <w:rPr>
          <w:rFonts w:ascii="Arial" w:eastAsia="Arial" w:hAnsi="Arial" w:cs="Arial"/>
          <w:i/>
          <w:noProof/>
          <w:sz w:val="22"/>
          <w:szCs w:val="22"/>
        </w:rPr>
        <w:t>et al.</w:t>
      </w:r>
      <w:r w:rsidR="001233E8" w:rsidRPr="001233E8">
        <w:rPr>
          <w:rFonts w:ascii="Arial" w:eastAsia="Arial" w:hAnsi="Arial" w:cs="Arial"/>
          <w:noProof/>
          <w:sz w:val="22"/>
          <w:szCs w:val="22"/>
        </w:rPr>
        <w:t>, 2017)</w:t>
      </w:r>
      <w:r w:rsidR="001233E8">
        <w:rPr>
          <w:rFonts w:ascii="Arial" w:eastAsia="Arial" w:hAnsi="Arial" w:cs="Arial"/>
          <w:sz w:val="22"/>
          <w:szCs w:val="22"/>
        </w:rPr>
        <w:fldChar w:fldCharType="end"/>
      </w:r>
      <w:r w:rsidR="001233E8">
        <w:rPr>
          <w:rFonts w:ascii="Arial" w:eastAsia="Arial" w:hAnsi="Arial" w:cs="Arial"/>
          <w:sz w:val="22"/>
          <w:szCs w:val="22"/>
        </w:rPr>
        <w:t xml:space="preserve"> </w:t>
      </w:r>
      <w:r>
        <w:rPr>
          <w:rFonts w:ascii="Arial" w:eastAsia="Arial" w:hAnsi="Arial" w:cs="Arial"/>
          <w:sz w:val="22"/>
          <w:szCs w:val="22"/>
        </w:rPr>
        <w:t xml:space="preserve">The findings are expected to reveal that participants are driven by a combination of intrinsic and extrinsic motivations as conceptualized in Self-Determination Theory by </w:t>
      </w:r>
      <w:r w:rsidR="003438F9">
        <w:rPr>
          <w:rFonts w:ascii="Arial" w:eastAsia="Arial" w:hAnsi="Arial" w:cs="Arial"/>
          <w:sz w:val="22"/>
          <w:szCs w:val="22"/>
        </w:rPr>
        <w:fldChar w:fldCharType="begin" w:fldLock="1"/>
      </w:r>
      <w:r w:rsidR="004B4B5C">
        <w:rPr>
          <w:rFonts w:ascii="Arial" w:eastAsia="Arial" w:hAnsi="Arial" w:cs="Arial"/>
          <w:sz w:val="22"/>
          <w:szCs w:val="22"/>
        </w:rPr>
        <w:instrText>ADDIN CSL_CITATION {"citationItems":[{"id":"ITEM-1","itemData":{"author":[{"dropping-particle":"","family":"Ryan","given":"Richard M","non-dropping-particle":"","parse-names":false,"suffix":""},{"dropping-particle":"","family":"Deci","given":"Edward L","non-dropping-particle":"","parse-names":false,"suffix":""}],"id":"ITEM-1","issue":"1","issued":{"date-parts":[["2000"]]},"page":"68-78","title":"Self-Determination Theory and the Facilitation of Intrinsic Motivation, Social Development, and Well-Being","type":"article-journal","volume":"55"},"uris":["http://www.mendeley.com/documents/?uuid=13130f8e-bf27-47eb-aee6-44264e9906cc"]}],"mendeley":{"formattedCitation":"(Ryan and Deci, 2000)","plainTextFormattedCitation":"(Ryan and Deci, 2000)","previouslyFormattedCitation":"(Ryan and Deci, 2000)"},"properties":{"noteIndex":0},"schema":"https://github.com/citation-style-language/schema/raw/master/csl-citation.json"}</w:instrText>
      </w:r>
      <w:r w:rsidR="003438F9">
        <w:rPr>
          <w:rFonts w:ascii="Arial" w:eastAsia="Arial" w:hAnsi="Arial" w:cs="Arial"/>
          <w:sz w:val="22"/>
          <w:szCs w:val="22"/>
        </w:rPr>
        <w:fldChar w:fldCharType="separate"/>
      </w:r>
      <w:r w:rsidR="003438F9" w:rsidRPr="003438F9">
        <w:rPr>
          <w:rFonts w:ascii="Arial" w:eastAsia="Arial" w:hAnsi="Arial" w:cs="Arial"/>
          <w:noProof/>
          <w:sz w:val="22"/>
          <w:szCs w:val="22"/>
        </w:rPr>
        <w:t>(Ryan and Deci, 2000)</w:t>
      </w:r>
      <w:r w:rsidR="003438F9">
        <w:rPr>
          <w:rFonts w:ascii="Arial" w:eastAsia="Arial" w:hAnsi="Arial" w:cs="Arial"/>
          <w:sz w:val="22"/>
          <w:szCs w:val="22"/>
        </w:rPr>
        <w:fldChar w:fldCharType="end"/>
      </w:r>
      <w:r w:rsidR="003438F9">
        <w:rPr>
          <w:rFonts w:ascii="Arial" w:eastAsia="Arial" w:hAnsi="Arial" w:cs="Arial"/>
          <w:sz w:val="22"/>
          <w:szCs w:val="22"/>
        </w:rPr>
        <w:t xml:space="preserve"> </w:t>
      </w:r>
      <w:r>
        <w:rPr>
          <w:rFonts w:ascii="Arial" w:eastAsia="Arial" w:hAnsi="Arial" w:cs="Arial"/>
          <w:sz w:val="22"/>
          <w:szCs w:val="22"/>
        </w:rPr>
        <w:t xml:space="preserve">with the immersive environment of Kampung </w:t>
      </w:r>
      <w:proofErr w:type="spellStart"/>
      <w:r>
        <w:rPr>
          <w:rFonts w:ascii="Arial" w:eastAsia="Arial" w:hAnsi="Arial" w:cs="Arial"/>
          <w:sz w:val="22"/>
          <w:szCs w:val="22"/>
        </w:rPr>
        <w:t>Inggris</w:t>
      </w:r>
      <w:proofErr w:type="spellEnd"/>
      <w:r>
        <w:rPr>
          <w:rFonts w:ascii="Arial" w:eastAsia="Arial" w:hAnsi="Arial" w:cs="Arial"/>
          <w:sz w:val="22"/>
          <w:szCs w:val="22"/>
        </w:rPr>
        <w:t xml:space="preserve"> Pare playing a significant role in shaping their learning experiences. This study contributes to the understanding of English learning motivation in non-formal contexts and offers practical implications for course designers and instructors.</w:t>
      </w:r>
    </w:p>
    <w:p w14:paraId="47B12627" w14:textId="1450C23B" w:rsidR="00873863" w:rsidRDefault="00B671FB">
      <w:pPr>
        <w:spacing w:after="240"/>
      </w:pPr>
      <w:r>
        <w:rPr>
          <w:rFonts w:ascii="Arial" w:eastAsia="Arial" w:hAnsi="Arial" w:cs="Arial"/>
          <w:b/>
          <w:bCs/>
          <w:sz w:val="22"/>
          <w:szCs w:val="22"/>
        </w:rPr>
        <w:t xml:space="preserve">Keywords: </w:t>
      </w:r>
      <w:r>
        <w:rPr>
          <w:rFonts w:ascii="Arial" w:eastAsia="Arial" w:hAnsi="Arial" w:cs="Arial"/>
          <w:sz w:val="22"/>
          <w:szCs w:val="22"/>
        </w:rPr>
        <w:t xml:space="preserve">learner motivation, non-formal education, English language learning, Self-Determination Theory, Kampung </w:t>
      </w:r>
      <w:proofErr w:type="spellStart"/>
      <w:r>
        <w:rPr>
          <w:rFonts w:ascii="Arial" w:eastAsia="Arial" w:hAnsi="Arial" w:cs="Arial"/>
          <w:sz w:val="22"/>
          <w:szCs w:val="22"/>
        </w:rPr>
        <w:t>Inggris</w:t>
      </w:r>
      <w:proofErr w:type="spellEnd"/>
      <w:r>
        <w:rPr>
          <w:rFonts w:ascii="Arial" w:eastAsia="Arial" w:hAnsi="Arial" w:cs="Arial"/>
          <w:sz w:val="22"/>
          <w:szCs w:val="22"/>
        </w:rPr>
        <w:t xml:space="preserve"> Pare</w:t>
      </w:r>
      <w:r w:rsidR="003438F9">
        <w:rPr>
          <w:rFonts w:ascii="Arial" w:eastAsia="Arial" w:hAnsi="Arial" w:cs="Arial"/>
          <w:sz w:val="22"/>
          <w:szCs w:val="22"/>
        </w:rPr>
        <w:t>.</w:t>
      </w:r>
    </w:p>
    <w:p w14:paraId="72117E35" w14:textId="77777777" w:rsidR="00873863" w:rsidRDefault="00B671FB">
      <w:pPr>
        <w:spacing w:before="240" w:after="120"/>
      </w:pPr>
      <w:r>
        <w:rPr>
          <w:rFonts w:ascii="Arial" w:eastAsia="Arial" w:hAnsi="Arial" w:cs="Arial"/>
          <w:b/>
          <w:bCs/>
          <w:sz w:val="24"/>
          <w:szCs w:val="24"/>
        </w:rPr>
        <w:t>INTRODUCTION</w:t>
      </w:r>
    </w:p>
    <w:p w14:paraId="2423A181" w14:textId="19E4C342" w:rsidR="00873863" w:rsidRDefault="00B671FB">
      <w:pPr>
        <w:spacing w:line="360" w:lineRule="auto"/>
        <w:jc w:val="both"/>
      </w:pPr>
      <w:r>
        <w:rPr>
          <w:rFonts w:ascii="Arial" w:eastAsia="Arial" w:hAnsi="Arial" w:cs="Arial"/>
          <w:sz w:val="24"/>
          <w:szCs w:val="24"/>
        </w:rPr>
        <w:t>English has firmly established itself as the dominant language of global communication, science, trade, and higher education. As a global lingua franca, English proficiency is no longer considered merely an academic advantage but an essential competency that individuals need across many areas of life</w:t>
      </w:r>
      <w:r w:rsidR="004B4B5C">
        <w:rPr>
          <w:rFonts w:ascii="Arial" w:eastAsia="Arial" w:hAnsi="Arial" w:cs="Arial"/>
          <w:sz w:val="24"/>
          <w:szCs w:val="24"/>
        </w:rPr>
        <w:t xml:space="preserve"> </w:t>
      </w:r>
      <w:r w:rsidR="004B4B5C">
        <w:rPr>
          <w:rFonts w:ascii="Arial" w:eastAsia="Arial" w:hAnsi="Arial" w:cs="Arial"/>
          <w:sz w:val="24"/>
          <w:szCs w:val="24"/>
        </w:rPr>
        <w:fldChar w:fldCharType="begin" w:fldLock="1"/>
      </w:r>
      <w:r w:rsidR="004B4B5C">
        <w:rPr>
          <w:rFonts w:ascii="Arial" w:eastAsia="Arial" w:hAnsi="Arial" w:cs="Arial"/>
          <w:sz w:val="24"/>
          <w:szCs w:val="24"/>
        </w:rPr>
        <w:instrText>ADDIN CSL_CITATION {"citationItems":[{"id":"ITEM-1","itemData":{"author":[{"dropping-particle":"","family":"Author: Crystal","given":"David","non-dropping-particle":"","parse-names":false,"suffix":""}],"edition":"2nd","id":"ITEM-1","issued":{"date-parts":[["2003"]]},"publisher":"Cambridge University Press","publisher-place":"Cambridg","title":"English as a global language","type":"book"},"uris":["http://www.mendeley.com/documents/?uuid=d45e09e9-b201-45d3-9e2a-59e24b9e995a"]},{"id":"ITEM-2","itemData":{"author":[{"dropping-particle":"","family":"Graddol","given":"David","non-dropping-particle":"","parse-names":false,"suffix":""}],"id":"ITEM-2","issued":{"date-parts":[["0"]]},"title":"No Title","type":"article-journal"},"uris":["http://www.mendeley.com/documents/?uuid=9ab8508f-6448-4818-946d-5906dadcc7e1"]}],"mendeley":{"formattedCitation":"(Graddol, no date; Author: Crystal, 2003)","manualFormatting":"(Graddol, 2006; Crystal, 2003)","plainTextFormattedCitation":"(Graddol, no date; Author: Crystal, 2003)"},"properties":{"noteIndex":0},"schema":"https://github.com/citation-style-language/schema/raw/master/csl-citation.json"}</w:instrText>
      </w:r>
      <w:r w:rsidR="004B4B5C">
        <w:rPr>
          <w:rFonts w:ascii="Arial" w:eastAsia="Arial" w:hAnsi="Arial" w:cs="Arial"/>
          <w:sz w:val="24"/>
          <w:szCs w:val="24"/>
        </w:rPr>
        <w:fldChar w:fldCharType="separate"/>
      </w:r>
      <w:r w:rsidR="004B4B5C" w:rsidRPr="004B4B5C">
        <w:rPr>
          <w:rFonts w:ascii="Arial" w:eastAsia="Arial" w:hAnsi="Arial" w:cs="Arial"/>
          <w:noProof/>
          <w:sz w:val="24"/>
          <w:szCs w:val="24"/>
        </w:rPr>
        <w:t xml:space="preserve">(Graddol, </w:t>
      </w:r>
      <w:r w:rsidR="004B4B5C">
        <w:rPr>
          <w:rFonts w:ascii="Arial" w:eastAsia="Arial" w:hAnsi="Arial" w:cs="Arial"/>
          <w:noProof/>
          <w:sz w:val="24"/>
          <w:szCs w:val="24"/>
        </w:rPr>
        <w:t>2006</w:t>
      </w:r>
      <w:r w:rsidR="004B4B5C" w:rsidRPr="004B4B5C">
        <w:rPr>
          <w:rFonts w:ascii="Arial" w:eastAsia="Arial" w:hAnsi="Arial" w:cs="Arial"/>
          <w:noProof/>
          <w:sz w:val="24"/>
          <w:szCs w:val="24"/>
        </w:rPr>
        <w:t>;</w:t>
      </w:r>
      <w:r w:rsidR="004B4B5C">
        <w:rPr>
          <w:rFonts w:ascii="Arial" w:eastAsia="Arial" w:hAnsi="Arial" w:cs="Arial"/>
          <w:noProof/>
          <w:sz w:val="24"/>
          <w:szCs w:val="24"/>
        </w:rPr>
        <w:t xml:space="preserve"> </w:t>
      </w:r>
      <w:r w:rsidR="004B4B5C" w:rsidRPr="004B4B5C">
        <w:rPr>
          <w:rFonts w:ascii="Arial" w:eastAsia="Arial" w:hAnsi="Arial" w:cs="Arial"/>
          <w:noProof/>
          <w:sz w:val="24"/>
          <w:szCs w:val="24"/>
        </w:rPr>
        <w:t>Crystal, 2003)</w:t>
      </w:r>
      <w:r w:rsidR="004B4B5C">
        <w:rPr>
          <w:rFonts w:ascii="Arial" w:eastAsia="Arial" w:hAnsi="Arial" w:cs="Arial"/>
          <w:sz w:val="24"/>
          <w:szCs w:val="24"/>
        </w:rPr>
        <w:fldChar w:fldCharType="end"/>
      </w:r>
      <w:r>
        <w:rPr>
          <w:rFonts w:ascii="Arial" w:eastAsia="Arial" w:hAnsi="Arial" w:cs="Arial"/>
          <w:sz w:val="24"/>
          <w:szCs w:val="24"/>
        </w:rPr>
        <w:t xml:space="preserve">. In Indonesia, the demand for English continues to grow alongside globalization and intensifying international competition. However, despite this growing need, Indonesians’ actual level of English proficiency remains relatively low. According to the EF English Proficiency Index, Indonesia ranked 79th out of 113 countries and was categorized as having low proficiency, revealing a significant gap between the </w:t>
      </w:r>
      <w:r>
        <w:rPr>
          <w:rFonts w:ascii="Arial" w:eastAsia="Arial" w:hAnsi="Arial" w:cs="Arial"/>
          <w:sz w:val="24"/>
          <w:szCs w:val="24"/>
        </w:rPr>
        <w:lastRenderedPageBreak/>
        <w:t xml:space="preserve">demand for English competence and actual learning outcomes achieved by learners across the country </w:t>
      </w:r>
      <w:r w:rsidR="001233E8">
        <w:rPr>
          <w:rFonts w:ascii="Arial" w:eastAsia="Arial" w:hAnsi="Arial" w:cs="Arial"/>
          <w:sz w:val="24"/>
          <w:szCs w:val="24"/>
        </w:rPr>
        <w:fldChar w:fldCharType="begin" w:fldLock="1"/>
      </w:r>
      <w:r w:rsidR="001233E8">
        <w:rPr>
          <w:rFonts w:ascii="Arial" w:eastAsia="Arial" w:hAnsi="Arial" w:cs="Arial"/>
          <w:sz w:val="24"/>
          <w:szCs w:val="24"/>
        </w:rPr>
        <w:instrText>ADDIN CSL_CITATION {"citationItems":[{"id":"ITEM-1","itemData":{"author":[{"dropping-particle":"","family":"First","given":"EF Education","non-dropping-particle":"","parse-names":false,"suffix":""}],"id":"ITEM-1","issued":{"date-parts":[["2023"]]},"title":"No Title EF E nglish Proficiency Index 2023","type":"report"},"uris":["http://www.mendeley.com/documents/?uuid=5128ae7f-7a2b-4d06-b0d9-59dbf994208e"]}],"mendeley":{"formattedCitation":"(First, 2023)","manualFormatting":"(EF Education First, 2023)","plainTextFormattedCitation":"(First, 2023)","previouslyFormattedCitation":"(First, 2023)"},"properties":{"noteIndex":0},"schema":"https://github.com/citation-style-language/schema/raw/master/csl-citation.json"}</w:instrText>
      </w:r>
      <w:r w:rsidR="001233E8">
        <w:rPr>
          <w:rFonts w:ascii="Arial" w:eastAsia="Arial" w:hAnsi="Arial" w:cs="Arial"/>
          <w:sz w:val="24"/>
          <w:szCs w:val="24"/>
        </w:rPr>
        <w:fldChar w:fldCharType="separate"/>
      </w:r>
      <w:r w:rsidR="001233E8" w:rsidRPr="001233E8">
        <w:rPr>
          <w:rFonts w:ascii="Arial" w:eastAsia="Arial" w:hAnsi="Arial" w:cs="Arial"/>
          <w:noProof/>
          <w:sz w:val="24"/>
          <w:szCs w:val="24"/>
        </w:rPr>
        <w:t>(</w:t>
      </w:r>
      <w:r w:rsidR="001233E8">
        <w:rPr>
          <w:rFonts w:ascii="Arial" w:eastAsia="Arial" w:hAnsi="Arial" w:cs="Arial"/>
          <w:noProof/>
          <w:sz w:val="24"/>
          <w:szCs w:val="24"/>
        </w:rPr>
        <w:t xml:space="preserve">EF Education </w:t>
      </w:r>
      <w:r w:rsidR="001233E8" w:rsidRPr="001233E8">
        <w:rPr>
          <w:rFonts w:ascii="Arial" w:eastAsia="Arial" w:hAnsi="Arial" w:cs="Arial"/>
          <w:noProof/>
          <w:sz w:val="24"/>
          <w:szCs w:val="24"/>
        </w:rPr>
        <w:t>First, 2023)</w:t>
      </w:r>
      <w:r w:rsidR="001233E8">
        <w:rPr>
          <w:rFonts w:ascii="Arial" w:eastAsia="Arial" w:hAnsi="Arial" w:cs="Arial"/>
          <w:sz w:val="24"/>
          <w:szCs w:val="24"/>
        </w:rPr>
        <w:fldChar w:fldCharType="end"/>
      </w:r>
    </w:p>
    <w:p w14:paraId="05F79B39" w14:textId="2F73B367" w:rsidR="00873863" w:rsidRDefault="00B671FB">
      <w:pPr>
        <w:spacing w:line="360" w:lineRule="auto"/>
        <w:ind w:firstLine="756"/>
        <w:jc w:val="both"/>
      </w:pPr>
      <w:r>
        <w:rPr>
          <w:rFonts w:ascii="Arial" w:eastAsia="Arial" w:hAnsi="Arial" w:cs="Arial"/>
          <w:sz w:val="24"/>
          <w:szCs w:val="24"/>
        </w:rPr>
        <w:t xml:space="preserve">One factor that consistently stands out in the literature on second language acquisition (SLA) is motivation. Learners who are highly motivated tend to engage more actively, put in greater effort, and demonstrate better resilience when facing difficulties during the learning process. </w:t>
      </w:r>
      <w:r w:rsidR="001233E8">
        <w:rPr>
          <w:rFonts w:ascii="Arial" w:eastAsia="Arial" w:hAnsi="Arial" w:cs="Arial"/>
          <w:sz w:val="24"/>
          <w:szCs w:val="24"/>
        </w:rPr>
        <w:fldChar w:fldCharType="begin" w:fldLock="1"/>
      </w:r>
      <w:r w:rsidR="001233E8">
        <w:rPr>
          <w:rFonts w:ascii="Arial" w:eastAsia="Arial" w:hAnsi="Arial" w:cs="Arial"/>
          <w:sz w:val="24"/>
          <w:szCs w:val="24"/>
        </w:rPr>
        <w:instrText>ADDIN CSL_CITATION {"citationItems":[{"id":"ITEM-1","itemData":{"DOI":"10.1037/0033-295X.84.2.191","author":[{"dropping-particle":"","family":"Bandura","given":"Albert","non-dropping-particle":"","parse-names":false,"suffix":""}],"container-title":"Psychological Review","id":"ITEM-1","issue":"2","issued":{"date-parts":[["1977"]]},"page":"191-215","title":"Toward unifying theory of behavioral change","type":"article-journal","volume":"84"},"uris":["http://www.mendeley.com/documents/?uuid=ea2e739f-1676-4f55-87f3-babceb3a20d8"]}],"mendeley":{"formattedCitation":"(Bandura, 1977)","plainTextFormattedCitation":"(Bandura, 1977)","previouslyFormattedCitation":"(Bandura, 1977)"},"properties":{"noteIndex":0},"schema":"https://github.com/citation-style-language/schema/raw/master/csl-citation.json"}</w:instrText>
      </w:r>
      <w:r w:rsidR="001233E8">
        <w:rPr>
          <w:rFonts w:ascii="Arial" w:eastAsia="Arial" w:hAnsi="Arial" w:cs="Arial"/>
          <w:sz w:val="24"/>
          <w:szCs w:val="24"/>
        </w:rPr>
        <w:fldChar w:fldCharType="separate"/>
      </w:r>
      <w:r w:rsidR="001233E8" w:rsidRPr="001233E8">
        <w:rPr>
          <w:rFonts w:ascii="Arial" w:eastAsia="Arial" w:hAnsi="Arial" w:cs="Arial"/>
          <w:noProof/>
          <w:sz w:val="24"/>
          <w:szCs w:val="24"/>
        </w:rPr>
        <w:t>(Bandura, 1977)</w:t>
      </w:r>
      <w:r w:rsidR="001233E8">
        <w:rPr>
          <w:rFonts w:ascii="Arial" w:eastAsia="Arial" w:hAnsi="Arial" w:cs="Arial"/>
          <w:sz w:val="24"/>
          <w:szCs w:val="24"/>
        </w:rPr>
        <w:fldChar w:fldCharType="end"/>
      </w:r>
      <w:r w:rsidR="001233E8">
        <w:rPr>
          <w:rFonts w:ascii="Arial" w:eastAsia="Arial" w:hAnsi="Arial" w:cs="Arial"/>
          <w:sz w:val="24"/>
          <w:szCs w:val="24"/>
        </w:rPr>
        <w:t xml:space="preserve"> </w:t>
      </w:r>
      <w:r>
        <w:rPr>
          <w:rFonts w:ascii="Arial" w:eastAsia="Arial" w:hAnsi="Arial" w:cs="Arial"/>
          <w:sz w:val="24"/>
          <w:szCs w:val="24"/>
        </w:rPr>
        <w:t xml:space="preserve">highlighted that an individual’s belief in their own capacity to succeed, or self-efficacy, plays a central role in determining how much effort they invest and how persistently they pursue their goals. Building on this, </w:t>
      </w:r>
      <w:r w:rsidR="001233E8">
        <w:rPr>
          <w:rFonts w:ascii="Arial" w:eastAsia="Arial" w:hAnsi="Arial" w:cs="Arial"/>
          <w:sz w:val="24"/>
          <w:szCs w:val="24"/>
        </w:rPr>
        <w:fldChar w:fldCharType="begin" w:fldLock="1"/>
      </w:r>
      <w:r w:rsidR="001233E8">
        <w:rPr>
          <w:rFonts w:ascii="Arial" w:eastAsia="Arial" w:hAnsi="Arial" w:cs="Arial"/>
          <w:sz w:val="24"/>
          <w:szCs w:val="24"/>
        </w:rPr>
        <w:instrText>ADDIN CSL_CITATION {"citationItems":[{"id":"ITEM-1","itemData":{"author":[{"dropping-particle":"","family":"Ryan","given":"Richard M","non-dropping-particle":"","parse-names":false,"suffix":""},{"dropping-particle":"","family":"Deci","given":"Edward L","non-dropping-particle":"","parse-names":false,"suffix":""}],"id":"ITEM-1","issue":"1","issued":{"date-parts":[["2000"]]},"page":"68-78","title":"Self-Determination Theory and the Facilitation of Intrinsic Motivation, Social Development, and Well-Being","type":"article-journal","volume":"55"},"uris":["http://www.mendeley.com/documents/?uuid=13130f8e-bf27-47eb-aee6-44264e9906cc"]}],"mendeley":{"formattedCitation":"(Ryan and Deci, 2000)","plainTextFormattedCitation":"(Ryan and Deci, 2000)","previouslyFormattedCitation":"(Ryan and Deci, 2000)"},"properties":{"noteIndex":0},"schema":"https://github.com/citation-style-language/schema/raw/master/csl-citation.json"}</w:instrText>
      </w:r>
      <w:r w:rsidR="001233E8">
        <w:rPr>
          <w:rFonts w:ascii="Arial" w:eastAsia="Arial" w:hAnsi="Arial" w:cs="Arial"/>
          <w:sz w:val="24"/>
          <w:szCs w:val="24"/>
        </w:rPr>
        <w:fldChar w:fldCharType="separate"/>
      </w:r>
      <w:r w:rsidR="001233E8" w:rsidRPr="001233E8">
        <w:rPr>
          <w:rFonts w:ascii="Arial" w:eastAsia="Arial" w:hAnsi="Arial" w:cs="Arial"/>
          <w:noProof/>
          <w:sz w:val="24"/>
          <w:szCs w:val="24"/>
        </w:rPr>
        <w:t>(Ryan and Deci, 2000)</w:t>
      </w:r>
      <w:r w:rsidR="001233E8">
        <w:rPr>
          <w:rFonts w:ascii="Arial" w:eastAsia="Arial" w:hAnsi="Arial" w:cs="Arial"/>
          <w:sz w:val="24"/>
          <w:szCs w:val="24"/>
        </w:rPr>
        <w:fldChar w:fldCharType="end"/>
      </w:r>
      <w:r w:rsidR="001233E8">
        <w:rPr>
          <w:rFonts w:ascii="Arial" w:eastAsia="Arial" w:hAnsi="Arial" w:cs="Arial"/>
          <w:sz w:val="24"/>
          <w:szCs w:val="24"/>
        </w:rPr>
        <w:t xml:space="preserve"> </w:t>
      </w:r>
      <w:r>
        <w:rPr>
          <w:rFonts w:ascii="Arial" w:eastAsia="Arial" w:hAnsi="Arial" w:cs="Arial"/>
          <w:sz w:val="24"/>
          <w:szCs w:val="24"/>
        </w:rPr>
        <w:t>introduced Self-Determination Theory (SDT), which distinguishes two primary types of motivation: intrinsic motivation, which arises from personal interest, enjoyment, and internal satisfaction in the learning process, and extrinsic motivation, which emerges from external factors such as academic requirements, employment needs, family encouragement, or social pressure. Both types influence a learner’s decision to study English and determine the intensity of their engagement throughout the learning journey.</w:t>
      </w:r>
    </w:p>
    <w:p w14:paraId="070A8685" w14:textId="3B15E279" w:rsidR="00873863" w:rsidRDefault="00B671FB">
      <w:pPr>
        <w:spacing w:line="360" w:lineRule="auto"/>
        <w:ind w:firstLine="756"/>
        <w:jc w:val="both"/>
      </w:pPr>
      <w:r>
        <w:rPr>
          <w:rFonts w:ascii="Arial" w:eastAsia="Arial" w:hAnsi="Arial" w:cs="Arial"/>
          <w:sz w:val="24"/>
          <w:szCs w:val="24"/>
        </w:rPr>
        <w:t xml:space="preserve">In the context of language learning, motivation is also closely tied to learners’ future goals and past learning experiences. </w:t>
      </w:r>
      <w:r w:rsidR="001233E8">
        <w:rPr>
          <w:rFonts w:ascii="Arial" w:eastAsia="Arial" w:hAnsi="Arial" w:cs="Arial"/>
          <w:sz w:val="24"/>
          <w:szCs w:val="24"/>
        </w:rPr>
        <w:fldChar w:fldCharType="begin" w:fldLock="1"/>
      </w:r>
      <w:r w:rsidR="001233E8">
        <w:rPr>
          <w:rFonts w:ascii="Arial" w:eastAsia="Arial" w:hAnsi="Arial" w:cs="Arial"/>
          <w:sz w:val="24"/>
          <w:szCs w:val="24"/>
        </w:rPr>
        <w:instrText>ADDIN CSL_CITATION {"citationItems":[{"id":"ITEM-1","itemData":{"DOI":"10.21832/9781847691293-003","ISBN":"9781847691293","author":[{"dropping-particle":"","family":"Dörnyei","given":"Zoltán","non-dropping-particle":"","parse-names":false,"suffix":""}],"container-title":"Motivation, Language Identity and the L2 Self","id":"ITEM-1","issue":"4","issued":{"date-parts":[["2009"]]},"page":"9-42","title":"The L2 Motivational Self System","type":"article-journal","volume":"8"},"uris":["http://www.mendeley.com/documents/?uuid=470f3745-79bc-4432-99a4-c821ed67af4f"]}],"mendeley":{"formattedCitation":"(Dörnyei, 2009)","plainTextFormattedCitation":"(Dörnyei, 2009)","previouslyFormattedCitation":"(Dörnyei, 2009)"},"properties":{"noteIndex":0},"schema":"https://github.com/citation-style-language/schema/raw/master/csl-citation.json"}</w:instrText>
      </w:r>
      <w:r w:rsidR="001233E8">
        <w:rPr>
          <w:rFonts w:ascii="Arial" w:eastAsia="Arial" w:hAnsi="Arial" w:cs="Arial"/>
          <w:sz w:val="24"/>
          <w:szCs w:val="24"/>
        </w:rPr>
        <w:fldChar w:fldCharType="separate"/>
      </w:r>
      <w:r w:rsidR="001233E8" w:rsidRPr="001233E8">
        <w:rPr>
          <w:rFonts w:ascii="Arial" w:eastAsia="Arial" w:hAnsi="Arial" w:cs="Arial"/>
          <w:noProof/>
          <w:sz w:val="24"/>
          <w:szCs w:val="24"/>
        </w:rPr>
        <w:t>(Dörnyei, 2009)</w:t>
      </w:r>
      <w:r w:rsidR="001233E8">
        <w:rPr>
          <w:rFonts w:ascii="Arial" w:eastAsia="Arial" w:hAnsi="Arial" w:cs="Arial"/>
          <w:sz w:val="24"/>
          <w:szCs w:val="24"/>
        </w:rPr>
        <w:fldChar w:fldCharType="end"/>
      </w:r>
      <w:r w:rsidR="001233E8">
        <w:rPr>
          <w:rFonts w:ascii="Arial" w:eastAsia="Arial" w:hAnsi="Arial" w:cs="Arial"/>
          <w:sz w:val="24"/>
          <w:szCs w:val="24"/>
        </w:rPr>
        <w:t xml:space="preserve"> </w:t>
      </w:r>
      <w:r>
        <w:rPr>
          <w:rFonts w:ascii="Arial" w:eastAsia="Arial" w:hAnsi="Arial" w:cs="Arial"/>
          <w:sz w:val="24"/>
          <w:szCs w:val="24"/>
        </w:rPr>
        <w:t xml:space="preserve">argued that language learning motivation can be shaped by personal goals, future self-images, and the learning environment that learners encounter. This suggests that motivation to learn English can arise from a wide range of reasons, from academic and professional needs to a desire for self-development and personal </w:t>
      </w:r>
      <w:proofErr w:type="spellStart"/>
      <w:r>
        <w:rPr>
          <w:rFonts w:ascii="Arial" w:eastAsia="Arial" w:hAnsi="Arial" w:cs="Arial"/>
          <w:sz w:val="24"/>
          <w:szCs w:val="24"/>
        </w:rPr>
        <w:t>fulfillment</w:t>
      </w:r>
      <w:proofErr w:type="spellEnd"/>
      <w:r>
        <w:rPr>
          <w:rFonts w:ascii="Arial" w:eastAsia="Arial" w:hAnsi="Arial" w:cs="Arial"/>
          <w:sz w:val="24"/>
          <w:szCs w:val="24"/>
        </w:rPr>
        <w:t xml:space="preserve">. </w:t>
      </w:r>
      <w:r w:rsidR="001233E8">
        <w:rPr>
          <w:rFonts w:ascii="Arial" w:eastAsia="Arial" w:hAnsi="Arial" w:cs="Arial"/>
          <w:sz w:val="24"/>
          <w:szCs w:val="24"/>
        </w:rPr>
        <w:fldChar w:fldCharType="begin" w:fldLock="1"/>
      </w:r>
      <w:r w:rsidR="001233E8">
        <w:rPr>
          <w:rFonts w:ascii="Arial" w:eastAsia="Arial" w:hAnsi="Arial" w:cs="Arial"/>
          <w:sz w:val="24"/>
          <w:szCs w:val="24"/>
        </w:rPr>
        <w:instrText>ADDIN CSL_CITATION {"citationItems":[{"id":"ITEM-1","itemData":{"author":[{"dropping-particle":"","family":"Gardner","given":"Robert C.","non-dropping-particle":"","parse-names":false,"suffix":""},{"dropping-particle":"","family":"Lambert","given":"Wallace E.","non-dropping-particle":"","parse-names":false,"suffix":""}],"id":"ITEM-1","issued":{"date-parts":[["1997"]]},"publisher":"Newburry House","publisher-place":"Rowlet, Massacehusetts","title":"No Title Attitudes and motivation in second language learning","type":"book"},"uris":["http://www.mendeley.com/documents/?uuid=a33e8e1a-757d-4bf4-9a8b-97661e8b75cb"]}],"mendeley":{"formattedCitation":"(Gardner and Lambert, 1997)","manualFormatting":"(Gardner and Lambert, 1972)","plainTextFormattedCitation":"(Gardner and Lambert, 1997)","previouslyFormattedCitation":"(Gardner and Lambert, 1997)"},"properties":{"noteIndex":0},"schema":"https://github.com/citation-style-language/schema/raw/master/csl-citation.json"}</w:instrText>
      </w:r>
      <w:r w:rsidR="001233E8">
        <w:rPr>
          <w:rFonts w:ascii="Arial" w:eastAsia="Arial" w:hAnsi="Arial" w:cs="Arial"/>
          <w:sz w:val="24"/>
          <w:szCs w:val="24"/>
        </w:rPr>
        <w:fldChar w:fldCharType="separate"/>
      </w:r>
      <w:r w:rsidR="001233E8" w:rsidRPr="001233E8">
        <w:rPr>
          <w:rFonts w:ascii="Arial" w:eastAsia="Arial" w:hAnsi="Arial" w:cs="Arial"/>
          <w:noProof/>
          <w:sz w:val="24"/>
          <w:szCs w:val="24"/>
        </w:rPr>
        <w:t>(Gardner and Lambert, 19</w:t>
      </w:r>
      <w:r w:rsidR="001233E8">
        <w:rPr>
          <w:rFonts w:ascii="Arial" w:eastAsia="Arial" w:hAnsi="Arial" w:cs="Arial"/>
          <w:noProof/>
          <w:sz w:val="24"/>
          <w:szCs w:val="24"/>
        </w:rPr>
        <w:t>72</w:t>
      </w:r>
      <w:r w:rsidR="001233E8" w:rsidRPr="001233E8">
        <w:rPr>
          <w:rFonts w:ascii="Arial" w:eastAsia="Arial" w:hAnsi="Arial" w:cs="Arial"/>
          <w:noProof/>
          <w:sz w:val="24"/>
          <w:szCs w:val="24"/>
        </w:rPr>
        <w:t>)</w:t>
      </w:r>
      <w:r w:rsidR="001233E8">
        <w:rPr>
          <w:rFonts w:ascii="Arial" w:eastAsia="Arial" w:hAnsi="Arial" w:cs="Arial"/>
          <w:sz w:val="24"/>
          <w:szCs w:val="24"/>
        </w:rPr>
        <w:fldChar w:fldCharType="end"/>
      </w:r>
      <w:r w:rsidR="001233E8">
        <w:rPr>
          <w:rFonts w:ascii="Arial" w:eastAsia="Arial" w:hAnsi="Arial" w:cs="Arial"/>
          <w:sz w:val="24"/>
          <w:szCs w:val="24"/>
        </w:rPr>
        <w:t xml:space="preserve"> </w:t>
      </w:r>
      <w:r>
        <w:rPr>
          <w:rFonts w:ascii="Arial" w:eastAsia="Arial" w:hAnsi="Arial" w:cs="Arial"/>
          <w:sz w:val="24"/>
          <w:szCs w:val="24"/>
        </w:rPr>
        <w:t>further distinguished two orientations of language learning motivation, namely integrative motivation, driven by genuine interest in the target language culture and community, and instrumental motivation, driven by practical goals such as passing standardized tests or meeting job requirements.</w:t>
      </w:r>
    </w:p>
    <w:p w14:paraId="39D74142" w14:textId="6DCB9878" w:rsidR="00873863" w:rsidRDefault="00B671FB">
      <w:pPr>
        <w:spacing w:line="360" w:lineRule="auto"/>
        <w:ind w:firstLine="756"/>
        <w:jc w:val="both"/>
      </w:pPr>
      <w:r>
        <w:rPr>
          <w:rFonts w:ascii="Arial" w:eastAsia="Arial" w:hAnsi="Arial" w:cs="Arial"/>
          <w:sz w:val="24"/>
          <w:szCs w:val="24"/>
        </w:rPr>
        <w:t xml:space="preserve">Several studies conducted in Indonesia have highlighted the complex and multifaceted nature of English learning motivation. </w:t>
      </w:r>
      <w:r w:rsidR="001233E8">
        <w:rPr>
          <w:rFonts w:ascii="Arial" w:eastAsia="Arial" w:hAnsi="Arial" w:cs="Arial"/>
          <w:sz w:val="24"/>
          <w:szCs w:val="24"/>
        </w:rPr>
        <w:fldChar w:fldCharType="begin" w:fldLock="1"/>
      </w:r>
      <w:r w:rsidR="001233E8">
        <w:rPr>
          <w:rFonts w:ascii="Arial" w:eastAsia="Arial" w:hAnsi="Arial" w:cs="Arial"/>
          <w:sz w:val="24"/>
          <w:szCs w:val="24"/>
        </w:rPr>
        <w:instrText>ADDIN CSL_CITATION {"citationItems":[{"id":"ITEM-1","itemData":{"author":[{"dropping-particle":"","family":"Janzen","given":"Joy","non-dropping-particle":"","parse-names":false,"suffix":""},{"dropping-particle":"","family":"Lamb","given":"Martin","non-dropping-particle":"","parse-names":false,"suffix":""}],"id":"ITEM-1","issued":{"date-parts":[["0"]]},"title":"QUARTERLY CONTENTS Complexities of Identity Formation : A Narrative Inquiry of an","type":"article-journal"},"uris":["http://www.mendeley.com/documents/?uuid=75617c65-fbfa-4a83-8880-c9a1d3a219b6"]}],"mendeley":{"formattedCitation":"(Janzen and Lamb, no date)","manualFormatting":"(Lamb, 2007)","plainTextFormattedCitation":"(Janzen and Lamb, no date)","previouslyFormattedCitation":"(Janzen and Lamb, no date)"},"properties":{"noteIndex":0},"schema":"https://github.com/citation-style-language/schema/raw/master/csl-citation.json"}</w:instrText>
      </w:r>
      <w:r w:rsidR="001233E8">
        <w:rPr>
          <w:rFonts w:ascii="Arial" w:eastAsia="Arial" w:hAnsi="Arial" w:cs="Arial"/>
          <w:sz w:val="24"/>
          <w:szCs w:val="24"/>
        </w:rPr>
        <w:fldChar w:fldCharType="separate"/>
      </w:r>
      <w:r w:rsidR="001233E8" w:rsidRPr="001233E8">
        <w:rPr>
          <w:rFonts w:ascii="Arial" w:eastAsia="Arial" w:hAnsi="Arial" w:cs="Arial"/>
          <w:noProof/>
          <w:sz w:val="24"/>
          <w:szCs w:val="24"/>
        </w:rPr>
        <w:t xml:space="preserve">(Lamb, </w:t>
      </w:r>
      <w:r w:rsidR="001233E8">
        <w:rPr>
          <w:rFonts w:ascii="Arial" w:eastAsia="Arial" w:hAnsi="Arial" w:cs="Arial"/>
          <w:noProof/>
          <w:sz w:val="24"/>
          <w:szCs w:val="24"/>
        </w:rPr>
        <w:t>2007</w:t>
      </w:r>
      <w:r w:rsidR="001233E8" w:rsidRPr="001233E8">
        <w:rPr>
          <w:rFonts w:ascii="Arial" w:eastAsia="Arial" w:hAnsi="Arial" w:cs="Arial"/>
          <w:noProof/>
          <w:sz w:val="24"/>
          <w:szCs w:val="24"/>
        </w:rPr>
        <w:t>)</w:t>
      </w:r>
      <w:r w:rsidR="001233E8">
        <w:rPr>
          <w:rFonts w:ascii="Arial" w:eastAsia="Arial" w:hAnsi="Arial" w:cs="Arial"/>
          <w:sz w:val="24"/>
          <w:szCs w:val="24"/>
        </w:rPr>
        <w:fldChar w:fldCharType="end"/>
      </w:r>
      <w:r w:rsidR="001233E8">
        <w:rPr>
          <w:rFonts w:ascii="Arial" w:eastAsia="Arial" w:hAnsi="Arial" w:cs="Arial"/>
          <w:sz w:val="24"/>
          <w:szCs w:val="24"/>
        </w:rPr>
        <w:t xml:space="preserve"> </w:t>
      </w:r>
      <w:r>
        <w:rPr>
          <w:rFonts w:ascii="Arial" w:eastAsia="Arial" w:hAnsi="Arial" w:cs="Arial"/>
          <w:sz w:val="24"/>
          <w:szCs w:val="24"/>
        </w:rPr>
        <w:t xml:space="preserve">found that many Indonesian learners initially showed high enthusiasm toward learning English, but that this motivation could decline due to unsupportive learning experiences within formal educational settings. When such conditions persist, learners may experience demotivation, a state in which previously present motivation diminishes as a result of negative affective experiences </w:t>
      </w:r>
      <w:r w:rsidR="001233E8">
        <w:rPr>
          <w:rFonts w:ascii="Arial" w:eastAsia="Arial" w:hAnsi="Arial" w:cs="Arial"/>
          <w:sz w:val="24"/>
          <w:szCs w:val="24"/>
        </w:rPr>
        <w:fldChar w:fldCharType="begin" w:fldLock="1"/>
      </w:r>
      <w:r w:rsidR="001233E8">
        <w:rPr>
          <w:rFonts w:ascii="Arial" w:eastAsia="Arial" w:hAnsi="Arial" w:cs="Arial"/>
          <w:sz w:val="24"/>
          <w:szCs w:val="24"/>
        </w:rPr>
        <w:instrText>ADDIN CSL_CITATION {"citationItems":[{"id":"ITEM-1","itemData":{"DOI":"10.1016/j.system.2009.03.004","author":[{"dropping-particle":"","family":"Falout","given":"Jose","non-dropping-particle":"","parse-names":false,"suffix":""},{"dropping-particle":"","family":"Elwood","given":"James","non-dropping-particle":"","parse-names":false,"suffix":""},{"dropping-particle":"","family":"Hood","given":"Michael","non-dropping-particle":"","parse-names":false,"suffix":""}],"container-title":"System","id":"ITEM-1","issue":"3","issued":{"date-parts":[["2009"]]},"page":"403-417","title":"Demotivation: Affective states and learning outcomes","type":"article-journal","volume":"37"},"uris":["http://www.mendeley.com/documents/?uuid=4d0ab212-4867-4e64-8889-fb2b8103bd79"]}],"mendeley":{"formattedCitation":"(Falout, Elwood and Hood, 2009)","plainTextFormattedCitation":"(Falout, Elwood and Hood, 2009)","previouslyFormattedCitation":"(Falout, Elwood and Hood, 2009)"},"properties":{"noteIndex":0},"schema":"https://github.com/citation-style-language/schema/raw/master/csl-citation.json"}</w:instrText>
      </w:r>
      <w:r w:rsidR="001233E8">
        <w:rPr>
          <w:rFonts w:ascii="Arial" w:eastAsia="Arial" w:hAnsi="Arial" w:cs="Arial"/>
          <w:sz w:val="24"/>
          <w:szCs w:val="24"/>
        </w:rPr>
        <w:fldChar w:fldCharType="separate"/>
      </w:r>
      <w:r w:rsidR="001233E8" w:rsidRPr="001233E8">
        <w:rPr>
          <w:rFonts w:ascii="Arial" w:eastAsia="Arial" w:hAnsi="Arial" w:cs="Arial"/>
          <w:noProof/>
          <w:sz w:val="24"/>
          <w:szCs w:val="24"/>
        </w:rPr>
        <w:t>(Falout, Elwood and Hood, 2009)</w:t>
      </w:r>
      <w:r w:rsidR="001233E8">
        <w:rPr>
          <w:rFonts w:ascii="Arial" w:eastAsia="Arial" w:hAnsi="Arial" w:cs="Arial"/>
          <w:sz w:val="24"/>
          <w:szCs w:val="24"/>
        </w:rPr>
        <w:fldChar w:fldCharType="end"/>
      </w:r>
      <w:r w:rsidR="001233E8">
        <w:rPr>
          <w:rFonts w:ascii="Arial" w:eastAsia="Arial" w:hAnsi="Arial" w:cs="Arial"/>
          <w:sz w:val="24"/>
          <w:szCs w:val="24"/>
        </w:rPr>
        <w:t xml:space="preserve">. </w:t>
      </w:r>
      <w:r w:rsidR="001233E8">
        <w:rPr>
          <w:rFonts w:ascii="Arial" w:eastAsia="Arial" w:hAnsi="Arial" w:cs="Arial"/>
          <w:sz w:val="24"/>
          <w:szCs w:val="24"/>
        </w:rPr>
        <w:fldChar w:fldCharType="begin" w:fldLock="1"/>
      </w:r>
      <w:r w:rsidR="001233E8">
        <w:rPr>
          <w:rFonts w:ascii="Arial" w:eastAsia="Arial" w:hAnsi="Arial" w:cs="Arial"/>
          <w:sz w:val="24"/>
          <w:szCs w:val="24"/>
        </w:rPr>
        <w:instrText>ADDIN CSL_CITATION {"citationItems":[{"id":"ITEM-1","itemData":{"DOI":"10.17509/ijal.v9i3.23199","author":[{"dropping-particle":"","family":"Muslim","given":"Ahmad Bukhori","non-dropping-particle":"","parse-names":false,"suffix":""},{"dropping-particle":"","family":"Hamied","given":"Fuad Abdul","non-dropping-particle":"","parse-names":false,"suffix":""},{"dropping-particle":"","family":"Sukyadi","given":"Didi","non-dropping-particle":"","parse-names":false,"suffix":""}],"id":"ITEM-1","issue":"3","issued":{"date-parts":[["2020"]]},"page":"493-507","title":"Integrative and instrumental but low investment : The English learning motivation of Indonesian senior high school students","type":"article-journal","volume":"9"},"uris":["http://www.mendeley.com/documents/?uuid=ee917f37-3ee5-4604-8909-0b441e2d5025"]}],"mendeley":{"formattedCitation":"(Muslim, Hamied and Sukyadi, 2020)","plainTextFormattedCitation":"(Muslim, Hamied and Sukyadi, 2020)","previouslyFormattedCitation":"(Muslim, Hamied and Sukyadi, 2020)"},"properties":{"noteIndex":0},"schema":"https://github.com/citation-style-language/schema/raw/master/csl-citation.json"}</w:instrText>
      </w:r>
      <w:r w:rsidR="001233E8">
        <w:rPr>
          <w:rFonts w:ascii="Arial" w:eastAsia="Arial" w:hAnsi="Arial" w:cs="Arial"/>
          <w:sz w:val="24"/>
          <w:szCs w:val="24"/>
        </w:rPr>
        <w:fldChar w:fldCharType="separate"/>
      </w:r>
      <w:r w:rsidR="001233E8" w:rsidRPr="001233E8">
        <w:rPr>
          <w:rFonts w:ascii="Arial" w:eastAsia="Arial" w:hAnsi="Arial" w:cs="Arial"/>
          <w:noProof/>
          <w:sz w:val="24"/>
          <w:szCs w:val="24"/>
        </w:rPr>
        <w:t>(Muslim, Hamied and Sukyadi, 2020)</w:t>
      </w:r>
      <w:r w:rsidR="001233E8">
        <w:rPr>
          <w:rFonts w:ascii="Arial" w:eastAsia="Arial" w:hAnsi="Arial" w:cs="Arial"/>
          <w:sz w:val="24"/>
          <w:szCs w:val="24"/>
        </w:rPr>
        <w:fldChar w:fldCharType="end"/>
      </w:r>
      <w:r w:rsidR="001233E8">
        <w:rPr>
          <w:rFonts w:ascii="Arial" w:eastAsia="Arial" w:hAnsi="Arial" w:cs="Arial"/>
          <w:sz w:val="24"/>
          <w:szCs w:val="24"/>
        </w:rPr>
        <w:t xml:space="preserve"> </w:t>
      </w:r>
      <w:r>
        <w:rPr>
          <w:rFonts w:ascii="Arial" w:eastAsia="Arial" w:hAnsi="Arial" w:cs="Arial"/>
          <w:sz w:val="24"/>
          <w:szCs w:val="24"/>
        </w:rPr>
        <w:t xml:space="preserve">similarly found that although Indonesian learners displayed relatively </w:t>
      </w:r>
      <w:r>
        <w:rPr>
          <w:rFonts w:ascii="Arial" w:eastAsia="Arial" w:hAnsi="Arial" w:cs="Arial"/>
          <w:sz w:val="24"/>
          <w:szCs w:val="24"/>
        </w:rPr>
        <w:lastRenderedPageBreak/>
        <w:t>high motivation to learn English, their actual level of engagement in the learning process did not always align with that motivation. These findings suggest that motivation is not static but is shaped and reshaped by learning experiences and the surrounding environment.</w:t>
      </w:r>
    </w:p>
    <w:p w14:paraId="11EF4983" w14:textId="73081DD9" w:rsidR="00873863" w:rsidRDefault="00B671FB">
      <w:pPr>
        <w:spacing w:line="360" w:lineRule="auto"/>
        <w:ind w:firstLine="756"/>
        <w:jc w:val="both"/>
      </w:pPr>
      <w:r>
        <w:rPr>
          <w:rFonts w:ascii="Arial" w:eastAsia="Arial" w:hAnsi="Arial" w:cs="Arial"/>
          <w:sz w:val="24"/>
          <w:szCs w:val="24"/>
        </w:rPr>
        <w:t xml:space="preserve">The limitations of formal English language education have led many individuals to seek alternative learning opportunities through non-formal institutions. Coombs and </w:t>
      </w:r>
      <w:r w:rsidR="001233E8">
        <w:rPr>
          <w:rFonts w:ascii="Arial" w:eastAsia="Arial" w:hAnsi="Arial" w:cs="Arial"/>
          <w:sz w:val="24"/>
          <w:szCs w:val="24"/>
        </w:rPr>
        <w:fldChar w:fldCharType="begin" w:fldLock="1"/>
      </w:r>
      <w:r w:rsidR="001233E8">
        <w:rPr>
          <w:rFonts w:ascii="Arial" w:eastAsia="Arial" w:hAnsi="Arial" w:cs="Arial"/>
          <w:sz w:val="24"/>
          <w:szCs w:val="24"/>
        </w:rPr>
        <w:instrText>ADDIN CSL_CITATION {"citationItems":[{"id":"ITEM-1","itemData":{"author":[{"dropping-particle":"","family":"Coombs","given":"Philip H.","non-dropping-particle":"","parse-names":false,"suffix":""},{"dropping-particle":"","family":"Ahmed","given":"Manzoor","non-dropping-particle":"","parse-names":false,"suffix":""}],"id":"ITEM-1","issued":{"date-parts":[["1974"]]},"publisher":"Type: Book Title: Attacking rural poverty: How nonformal education caJohns Hopkins University Press","publisher-place":"Baltimore","title":"Attacking rural poverty: How nonformal education can help","type":"book"},"uris":["http://www.mendeley.com/documents/?uuid=872f6d01-e163-4d30-b537-65972920f899"]}],"mendeley":{"formattedCitation":"(Coombs and Ahmed, 1974)","plainTextFormattedCitation":"(Coombs and Ahmed, 1974)","previouslyFormattedCitation":"(Coombs and Ahmed, 1974)"},"properties":{"noteIndex":0},"schema":"https://github.com/citation-style-language/schema/raw/master/csl-citation.json"}</w:instrText>
      </w:r>
      <w:r w:rsidR="001233E8">
        <w:rPr>
          <w:rFonts w:ascii="Arial" w:eastAsia="Arial" w:hAnsi="Arial" w:cs="Arial"/>
          <w:sz w:val="24"/>
          <w:szCs w:val="24"/>
        </w:rPr>
        <w:fldChar w:fldCharType="separate"/>
      </w:r>
      <w:r w:rsidR="001233E8" w:rsidRPr="001233E8">
        <w:rPr>
          <w:rFonts w:ascii="Arial" w:eastAsia="Arial" w:hAnsi="Arial" w:cs="Arial"/>
          <w:noProof/>
          <w:sz w:val="24"/>
          <w:szCs w:val="24"/>
        </w:rPr>
        <w:t>(Coombs and Ahmed, 1974)</w:t>
      </w:r>
      <w:r w:rsidR="001233E8">
        <w:rPr>
          <w:rFonts w:ascii="Arial" w:eastAsia="Arial" w:hAnsi="Arial" w:cs="Arial"/>
          <w:sz w:val="24"/>
          <w:szCs w:val="24"/>
        </w:rPr>
        <w:fldChar w:fldCharType="end"/>
      </w:r>
      <w:r w:rsidR="001233E8">
        <w:rPr>
          <w:rFonts w:ascii="Arial" w:eastAsia="Arial" w:hAnsi="Arial" w:cs="Arial"/>
          <w:sz w:val="24"/>
          <w:szCs w:val="24"/>
        </w:rPr>
        <w:t xml:space="preserve"> </w:t>
      </w:r>
      <w:r>
        <w:rPr>
          <w:rFonts w:ascii="Arial" w:eastAsia="Arial" w:hAnsi="Arial" w:cs="Arial"/>
          <w:sz w:val="24"/>
          <w:szCs w:val="24"/>
        </w:rPr>
        <w:t xml:space="preserve">defined non-formal education as any organized, systematic educational activity carried out outside the framework of the formal school system, aimed at providing specific types of learning to particular subgroups of the population. One of the most well-known non-formal English learning environments in Indonesia is Kampung </w:t>
      </w:r>
      <w:proofErr w:type="spellStart"/>
      <w:r>
        <w:rPr>
          <w:rFonts w:ascii="Arial" w:eastAsia="Arial" w:hAnsi="Arial" w:cs="Arial"/>
          <w:sz w:val="24"/>
          <w:szCs w:val="24"/>
        </w:rPr>
        <w:t>Inggris</w:t>
      </w:r>
      <w:proofErr w:type="spellEnd"/>
      <w:r>
        <w:rPr>
          <w:rFonts w:ascii="Arial" w:eastAsia="Arial" w:hAnsi="Arial" w:cs="Arial"/>
          <w:sz w:val="24"/>
          <w:szCs w:val="24"/>
        </w:rPr>
        <w:t xml:space="preserve"> Pare, located in Kediri, East Java. The intensive learning environment, the use of English in daily activities, and the supportive social interactions make Kampung </w:t>
      </w:r>
      <w:proofErr w:type="spellStart"/>
      <w:r>
        <w:rPr>
          <w:rFonts w:ascii="Arial" w:eastAsia="Arial" w:hAnsi="Arial" w:cs="Arial"/>
          <w:sz w:val="24"/>
          <w:szCs w:val="24"/>
        </w:rPr>
        <w:t>Inggris</w:t>
      </w:r>
      <w:proofErr w:type="spellEnd"/>
      <w:r>
        <w:rPr>
          <w:rFonts w:ascii="Arial" w:eastAsia="Arial" w:hAnsi="Arial" w:cs="Arial"/>
          <w:sz w:val="24"/>
          <w:szCs w:val="24"/>
        </w:rPr>
        <w:t xml:space="preserve"> an especially rich and relevant context for exploring English learning motivation. </w:t>
      </w:r>
      <w:r w:rsidR="001233E8">
        <w:rPr>
          <w:rFonts w:ascii="Arial" w:eastAsia="Arial" w:hAnsi="Arial" w:cs="Arial"/>
          <w:sz w:val="24"/>
          <w:szCs w:val="24"/>
        </w:rPr>
        <w:fldChar w:fldCharType="begin" w:fldLock="1"/>
      </w:r>
      <w:r w:rsidR="001233E8">
        <w:rPr>
          <w:rFonts w:ascii="Arial" w:eastAsia="Arial" w:hAnsi="Arial" w:cs="Arial"/>
          <w:sz w:val="24"/>
          <w:szCs w:val="24"/>
        </w:rPr>
        <w:instrText>ADDIN CSL_CITATION {"citationItems":[{"id":"ITEM-1","itemData":{"DOI":"10.26858/ijole.v4i2.12599","author":[{"dropping-particle":"","family":"Pratiwi","given":"Widya Rizky","non-dropping-particle":"","parse-names":false,"suffix":""},{"dropping-particle":"","family":"Atmowardoyo","given":"Haryanto","non-dropping-particle":"","parse-names":false,"suffix":""},{"dropping-particle":"","family":"Salija","given":"Kisman","non-dropping-particle":"","parse-names":false,"suffix":""}],"id":"ITEM-1","issue":"1","issued":{"date-parts":[["2020"]]},"page":"158-170","title":"THE NEED ANALYSIS OF PARTICIPATION IN AN ENGLISH","type":"article-journal","volume":"4"},"uris":["http://www.mendeley.com/documents/?uuid=2ad139bb-4c13-48af-8297-5fa0e6f7ae64"]}],"mendeley":{"formattedCitation":"(Pratiwi, Atmowardoyo and Salija, 2020)","plainTextFormattedCitation":"(Pratiwi, Atmowardoyo and Salija, 2020)","previouslyFormattedCitation":"(Pratiwi, Atmowardoyo and Salija, 2020)"},"properties":{"noteIndex":0},"schema":"https://github.com/citation-style-language/schema/raw/master/csl-citation.json"}</w:instrText>
      </w:r>
      <w:r w:rsidR="001233E8">
        <w:rPr>
          <w:rFonts w:ascii="Arial" w:eastAsia="Arial" w:hAnsi="Arial" w:cs="Arial"/>
          <w:sz w:val="24"/>
          <w:szCs w:val="24"/>
        </w:rPr>
        <w:fldChar w:fldCharType="separate"/>
      </w:r>
      <w:r w:rsidR="001233E8" w:rsidRPr="001233E8">
        <w:rPr>
          <w:rFonts w:ascii="Arial" w:eastAsia="Arial" w:hAnsi="Arial" w:cs="Arial"/>
          <w:noProof/>
          <w:sz w:val="24"/>
          <w:szCs w:val="24"/>
        </w:rPr>
        <w:t>(Pratiwi, Atmowardoyo and Salija, 2020)</w:t>
      </w:r>
      <w:r w:rsidR="001233E8">
        <w:rPr>
          <w:rFonts w:ascii="Arial" w:eastAsia="Arial" w:hAnsi="Arial" w:cs="Arial"/>
          <w:sz w:val="24"/>
          <w:szCs w:val="24"/>
        </w:rPr>
        <w:fldChar w:fldCharType="end"/>
      </w:r>
      <w:r w:rsidR="001233E8">
        <w:rPr>
          <w:rFonts w:ascii="Arial" w:eastAsia="Arial" w:hAnsi="Arial" w:cs="Arial"/>
          <w:sz w:val="24"/>
          <w:szCs w:val="24"/>
        </w:rPr>
        <w:t xml:space="preserve"> </w:t>
      </w:r>
      <w:r>
        <w:rPr>
          <w:rFonts w:ascii="Arial" w:eastAsia="Arial" w:hAnsi="Arial" w:cs="Arial"/>
          <w:sz w:val="24"/>
          <w:szCs w:val="24"/>
        </w:rPr>
        <w:t xml:space="preserve">found that many participants joined programs in Kampung </w:t>
      </w:r>
      <w:proofErr w:type="spellStart"/>
      <w:r>
        <w:rPr>
          <w:rFonts w:ascii="Arial" w:eastAsia="Arial" w:hAnsi="Arial" w:cs="Arial"/>
          <w:sz w:val="24"/>
          <w:szCs w:val="24"/>
        </w:rPr>
        <w:t>Inggris</w:t>
      </w:r>
      <w:proofErr w:type="spellEnd"/>
      <w:r>
        <w:rPr>
          <w:rFonts w:ascii="Arial" w:eastAsia="Arial" w:hAnsi="Arial" w:cs="Arial"/>
          <w:sz w:val="24"/>
          <w:szCs w:val="24"/>
        </w:rPr>
        <w:t xml:space="preserve"> Pare precisely because they felt that formal school education had not adequately met their communicative needs, indicating that learners in non-formal settings often carry diverse motivations and expectations.</w:t>
      </w:r>
    </w:p>
    <w:p w14:paraId="23E3D379" w14:textId="77777777" w:rsidR="00873863" w:rsidRDefault="00B671FB">
      <w:pPr>
        <w:spacing w:line="360" w:lineRule="auto"/>
        <w:ind w:firstLine="756"/>
        <w:jc w:val="both"/>
      </w:pPr>
      <w:r>
        <w:rPr>
          <w:rFonts w:ascii="Arial" w:eastAsia="Arial" w:hAnsi="Arial" w:cs="Arial"/>
          <w:sz w:val="24"/>
          <w:szCs w:val="24"/>
        </w:rPr>
        <w:t xml:space="preserve">Participants in Kampung </w:t>
      </w:r>
      <w:proofErr w:type="spellStart"/>
      <w:r>
        <w:rPr>
          <w:rFonts w:ascii="Arial" w:eastAsia="Arial" w:hAnsi="Arial" w:cs="Arial"/>
          <w:sz w:val="24"/>
          <w:szCs w:val="24"/>
        </w:rPr>
        <w:t>Inggris</w:t>
      </w:r>
      <w:proofErr w:type="spellEnd"/>
      <w:r>
        <w:rPr>
          <w:rFonts w:ascii="Arial" w:eastAsia="Arial" w:hAnsi="Arial" w:cs="Arial"/>
          <w:sz w:val="24"/>
          <w:szCs w:val="24"/>
        </w:rPr>
        <w:t xml:space="preserve"> come from remarkably diverse backgrounds, including high school students, university students, fresh graduates, and working professionals. Their reasons for joining English courses vary considerably. Some are motivated by academic goals such as preparing for TOEFL tests or university entry requirements. Others are driven by professional needs such as job applications or career advancement. Still others </w:t>
      </w:r>
      <w:proofErr w:type="spellStart"/>
      <w:r>
        <w:rPr>
          <w:rFonts w:ascii="Arial" w:eastAsia="Arial" w:hAnsi="Arial" w:cs="Arial"/>
          <w:sz w:val="24"/>
          <w:szCs w:val="24"/>
        </w:rPr>
        <w:t>enroll</w:t>
      </w:r>
      <w:proofErr w:type="spellEnd"/>
      <w:r>
        <w:rPr>
          <w:rFonts w:ascii="Arial" w:eastAsia="Arial" w:hAnsi="Arial" w:cs="Arial"/>
          <w:sz w:val="24"/>
          <w:szCs w:val="24"/>
        </w:rPr>
        <w:t xml:space="preserve"> for personal reasons such as self-improvement, curiosity about the English language, parental encouragement, social influence, or simply to make productive use of their free time. This diversity of motivations makes Gaza English Course a compelling site for in-depth investigation.</w:t>
      </w:r>
    </w:p>
    <w:p w14:paraId="76349B3A" w14:textId="5C6924A4" w:rsidR="00873863" w:rsidRDefault="00B671FB">
      <w:pPr>
        <w:spacing w:line="360" w:lineRule="auto"/>
        <w:ind w:firstLine="756"/>
        <w:jc w:val="both"/>
      </w:pPr>
      <w:r>
        <w:rPr>
          <w:rFonts w:ascii="Arial" w:eastAsia="Arial" w:hAnsi="Arial" w:cs="Arial"/>
          <w:sz w:val="24"/>
          <w:szCs w:val="24"/>
        </w:rPr>
        <w:t xml:space="preserve">Although research on English learning motivation has been conducted widely, most existing studies have concentrated on formal educational contexts such as schools and universities. Research that specifically explores the motivation of English course participants in non-formal settings, particularly at Gaza English Course, remains limited. Moreover, many previous studies have prioritized quantitative measurement of motivation over a deeper exploration of learners’ reasons, experiences, and perceptions. </w:t>
      </w:r>
      <w:r w:rsidR="001233E8">
        <w:rPr>
          <w:rFonts w:ascii="Arial" w:eastAsia="Arial" w:hAnsi="Arial" w:cs="Arial"/>
          <w:sz w:val="24"/>
          <w:szCs w:val="24"/>
        </w:rPr>
        <w:fldChar w:fldCharType="begin" w:fldLock="1"/>
      </w:r>
      <w:r w:rsidR="001233E8">
        <w:rPr>
          <w:rFonts w:ascii="Arial" w:eastAsia="Arial" w:hAnsi="Arial" w:cs="Arial"/>
          <w:sz w:val="24"/>
          <w:szCs w:val="24"/>
        </w:rPr>
        <w:instrText>ADDIN CSL_CITATION {"citationItems":[{"id":"ITEM-1","itemData":{"author":[{"dropping-particle":"","family":"Dörnyei","given":"Zoltán","non-dropping-particle":"","parse-names":false,"suffix":""}],"id":"ITEM-1","issued":{"date-parts":[["2001"]]},"publisher":"Cambridge University Press","publisher-place":"Cambridge","title":"No Title Motivational strategies in the language classroom","type":"book"},"uris":["http://www.mendeley.com/documents/?uuid=8034bd18-6035-42d4-8d48-b45f8bbd3247"]}],"mendeley":{"formattedCitation":"(Dörnyei, 2001)","plainTextFormattedCitation":"(Dörnyei, 2001)","previouslyFormattedCitation":"(Dörnyei, 2001)"},"properties":{"noteIndex":0},"schema":"https://github.com/citation-style-language/schema/raw/master/csl-citation.json"}</w:instrText>
      </w:r>
      <w:r w:rsidR="001233E8">
        <w:rPr>
          <w:rFonts w:ascii="Arial" w:eastAsia="Arial" w:hAnsi="Arial" w:cs="Arial"/>
          <w:sz w:val="24"/>
          <w:szCs w:val="24"/>
        </w:rPr>
        <w:fldChar w:fldCharType="separate"/>
      </w:r>
      <w:r w:rsidR="001233E8" w:rsidRPr="001233E8">
        <w:rPr>
          <w:rFonts w:ascii="Arial" w:eastAsia="Arial" w:hAnsi="Arial" w:cs="Arial"/>
          <w:noProof/>
          <w:sz w:val="24"/>
          <w:szCs w:val="24"/>
        </w:rPr>
        <w:t>(Dörnyei, 2001)</w:t>
      </w:r>
      <w:r w:rsidR="001233E8">
        <w:rPr>
          <w:rFonts w:ascii="Arial" w:eastAsia="Arial" w:hAnsi="Arial" w:cs="Arial"/>
          <w:sz w:val="24"/>
          <w:szCs w:val="24"/>
        </w:rPr>
        <w:fldChar w:fldCharType="end"/>
      </w:r>
      <w:r w:rsidR="001233E8">
        <w:rPr>
          <w:rFonts w:ascii="Arial" w:eastAsia="Arial" w:hAnsi="Arial" w:cs="Arial"/>
          <w:sz w:val="24"/>
          <w:szCs w:val="24"/>
        </w:rPr>
        <w:t xml:space="preserve"> </w:t>
      </w:r>
      <w:r>
        <w:rPr>
          <w:rFonts w:ascii="Arial" w:eastAsia="Arial" w:hAnsi="Arial" w:cs="Arial"/>
          <w:sz w:val="24"/>
          <w:szCs w:val="24"/>
        </w:rPr>
        <w:t xml:space="preserve">noted that understanding what </w:t>
      </w:r>
      <w:r>
        <w:rPr>
          <w:rFonts w:ascii="Arial" w:eastAsia="Arial" w:hAnsi="Arial" w:cs="Arial"/>
          <w:sz w:val="24"/>
          <w:szCs w:val="24"/>
        </w:rPr>
        <w:lastRenderedPageBreak/>
        <w:t xml:space="preserve">motivates learners requires going beyond test scores and </w:t>
      </w:r>
      <w:proofErr w:type="spellStart"/>
      <w:r>
        <w:rPr>
          <w:rFonts w:ascii="Arial" w:eastAsia="Arial" w:hAnsi="Arial" w:cs="Arial"/>
          <w:sz w:val="24"/>
          <w:szCs w:val="24"/>
        </w:rPr>
        <w:t>behavioral</w:t>
      </w:r>
      <w:proofErr w:type="spellEnd"/>
      <w:r>
        <w:rPr>
          <w:rFonts w:ascii="Arial" w:eastAsia="Arial" w:hAnsi="Arial" w:cs="Arial"/>
          <w:sz w:val="24"/>
          <w:szCs w:val="24"/>
        </w:rPr>
        <w:t xml:space="preserve"> indicators to examine the psychological processes and contextual factors that sustain or undermine their engagement. Based on this research gap, the present study aims to explore learners’ motivation at Gaza English Course by investigating the motivational factors that drive participants to learn English, describing their learning experiences at the course, and </w:t>
      </w:r>
      <w:proofErr w:type="spellStart"/>
      <w:r>
        <w:rPr>
          <w:rFonts w:ascii="Arial" w:eastAsia="Arial" w:hAnsi="Arial" w:cs="Arial"/>
          <w:sz w:val="24"/>
          <w:szCs w:val="24"/>
        </w:rPr>
        <w:t>analyzing</w:t>
      </w:r>
      <w:proofErr w:type="spellEnd"/>
      <w:r>
        <w:rPr>
          <w:rFonts w:ascii="Arial" w:eastAsia="Arial" w:hAnsi="Arial" w:cs="Arial"/>
          <w:sz w:val="24"/>
          <w:szCs w:val="24"/>
        </w:rPr>
        <w:t xml:space="preserve"> the factors that support and hinder their motivation throughout the program.</w:t>
      </w:r>
    </w:p>
    <w:p w14:paraId="5B33EAD8" w14:textId="77777777" w:rsidR="00873863" w:rsidRDefault="00B671FB">
      <w:pPr>
        <w:spacing w:before="240" w:after="120"/>
      </w:pPr>
      <w:r>
        <w:rPr>
          <w:rFonts w:ascii="Arial" w:eastAsia="Arial" w:hAnsi="Arial" w:cs="Arial"/>
          <w:b/>
          <w:bCs/>
          <w:sz w:val="24"/>
          <w:szCs w:val="24"/>
        </w:rPr>
        <w:t>METHODS</w:t>
      </w:r>
    </w:p>
    <w:p w14:paraId="71C53429" w14:textId="240C0C8A" w:rsidR="00873863" w:rsidRDefault="00B671FB">
      <w:pPr>
        <w:spacing w:line="360" w:lineRule="auto"/>
        <w:jc w:val="both"/>
      </w:pPr>
      <w:r>
        <w:rPr>
          <w:rFonts w:ascii="Arial" w:eastAsia="Arial" w:hAnsi="Arial" w:cs="Arial"/>
          <w:sz w:val="24"/>
          <w:szCs w:val="24"/>
        </w:rPr>
        <w:t xml:space="preserve">This study employed a qualitative approach using an instrumental case study design. A qualitative approach was chosen because the primary aim of this research is to explore and understand how course participants experience and describe their own English learning motivation, a phenomenon that is deeply personal, context-dependent, and cannot be adequately captured through numerical measurement alone. </w:t>
      </w:r>
      <w:r w:rsidR="001233E8">
        <w:rPr>
          <w:rFonts w:ascii="Arial" w:eastAsia="Arial" w:hAnsi="Arial" w:cs="Arial"/>
          <w:sz w:val="24"/>
          <w:szCs w:val="24"/>
        </w:rPr>
        <w:fldChar w:fldCharType="begin" w:fldLock="1"/>
      </w:r>
      <w:r w:rsidR="001233E8">
        <w:rPr>
          <w:rFonts w:ascii="Arial" w:eastAsia="Arial" w:hAnsi="Arial" w:cs="Arial"/>
          <w:sz w:val="24"/>
          <w:szCs w:val="24"/>
        </w:rPr>
        <w:instrText>ADDIN CSL_CITATION {"citationItems":[{"id":"ITEM-1","itemData":{"ISBN":"8801716397","author":[{"dropping-particle":"","family":"Mohajan","given":"Haradhan Kumar","non-dropping-particle":"","parse-names":false,"suffix":""}],"id":"ITEM-1","issue":"1","issued":{"date-parts":[["2018"]]},"page":"23-48","title":"Qualitative research methodology in social sciences and related subjects","type":"article-journal","volume":"7"},"uris":["http://www.mendeley.com/documents/?uuid=87d09180-3581-4840-9684-3fe38329afd0"]}],"mendeley":{"formattedCitation":"(Mohajan, 2018)","plainTextFormattedCitation":"(Mohajan, 2018)","previouslyFormattedCitation":"(Mohajan, 2018)"},"properties":{"noteIndex":0},"schema":"https://github.com/citation-style-language/schema/raw/master/csl-citation.json"}</w:instrText>
      </w:r>
      <w:r w:rsidR="001233E8">
        <w:rPr>
          <w:rFonts w:ascii="Arial" w:eastAsia="Arial" w:hAnsi="Arial" w:cs="Arial"/>
          <w:sz w:val="24"/>
          <w:szCs w:val="24"/>
        </w:rPr>
        <w:fldChar w:fldCharType="separate"/>
      </w:r>
      <w:r w:rsidR="001233E8" w:rsidRPr="001233E8">
        <w:rPr>
          <w:rFonts w:ascii="Arial" w:eastAsia="Arial" w:hAnsi="Arial" w:cs="Arial"/>
          <w:noProof/>
          <w:sz w:val="24"/>
          <w:szCs w:val="24"/>
        </w:rPr>
        <w:t>(Mohajan, 2018)</w:t>
      </w:r>
      <w:r w:rsidR="001233E8">
        <w:rPr>
          <w:rFonts w:ascii="Arial" w:eastAsia="Arial" w:hAnsi="Arial" w:cs="Arial"/>
          <w:sz w:val="24"/>
          <w:szCs w:val="24"/>
        </w:rPr>
        <w:fldChar w:fldCharType="end"/>
      </w:r>
      <w:r w:rsidR="001233E8">
        <w:rPr>
          <w:rFonts w:ascii="Arial" w:eastAsia="Arial" w:hAnsi="Arial" w:cs="Arial"/>
          <w:sz w:val="24"/>
          <w:szCs w:val="24"/>
        </w:rPr>
        <w:t xml:space="preserve"> </w:t>
      </w:r>
      <w:r>
        <w:rPr>
          <w:rFonts w:ascii="Arial" w:eastAsia="Arial" w:hAnsi="Arial" w:cs="Arial"/>
          <w:sz w:val="24"/>
          <w:szCs w:val="24"/>
        </w:rPr>
        <w:t>explained that qualitative approaches are most appropriate when the researcher seeks to understand the meanings individuals give to a social or human problem within its natural context. Since motivation in language learning involves subjective internal conditions, social interactions, and lived experiences within a specific learning environment, a qualitative approach allows for a richer and more nuanced understanding than quantitative instruments.</w:t>
      </w:r>
    </w:p>
    <w:p w14:paraId="356F04FA" w14:textId="3406DF17" w:rsidR="00873863" w:rsidRDefault="00B671FB">
      <w:pPr>
        <w:spacing w:line="360" w:lineRule="auto"/>
        <w:ind w:firstLine="756"/>
        <w:jc w:val="both"/>
      </w:pPr>
      <w:r>
        <w:rPr>
          <w:rFonts w:ascii="Arial" w:eastAsia="Arial" w:hAnsi="Arial" w:cs="Arial"/>
          <w:sz w:val="24"/>
          <w:szCs w:val="24"/>
        </w:rPr>
        <w:t xml:space="preserve">An instrumental case study design is one in which a particular case is examined not for its own sake alone but because it serves as a lens through which a broader issue or phenomenon can be better understood </w:t>
      </w:r>
      <w:r w:rsidR="001233E8">
        <w:rPr>
          <w:rFonts w:ascii="Arial" w:eastAsia="Arial" w:hAnsi="Arial" w:cs="Arial"/>
          <w:sz w:val="24"/>
          <w:szCs w:val="24"/>
        </w:rPr>
        <w:fldChar w:fldCharType="begin" w:fldLock="1"/>
      </w:r>
      <w:r w:rsidR="001233E8">
        <w:rPr>
          <w:rFonts w:ascii="Arial" w:eastAsia="Arial" w:hAnsi="Arial" w:cs="Arial"/>
          <w:sz w:val="24"/>
          <w:szCs w:val="24"/>
        </w:rPr>
        <w:instrText>ADDIN CSL_CITATION {"citationItems":[{"id":"ITEM-1","itemData":{"author":[{"dropping-particle":"","family":"Baxter","given":"Pamela","non-dropping-particle":"","parse-names":false,"suffix":""},{"dropping-particle":"","family":"Jack","given":"Susan","non-dropping-particle":"","parse-names":false,"suffix":""}],"id":"ITEM-1","issue":"4","issued":{"date-parts":[["2008"]]},"page":"544-559","title":"Qualitative Case Study Methodology : Study Design and Implementation for Novice Researchers Qualitative Case Study Methodology : Study Design and Implementation for","type":"article-journal","volume":"13"},"uris":["http://www.mendeley.com/documents/?uuid=6a844bfb-c72c-4829-be6a-9bcf759b242d"]}],"mendeley":{"formattedCitation":"(Baxter and Jack, 2008)","plainTextFormattedCitation":"(Baxter and Jack, 2008)","previouslyFormattedCitation":"(Baxter and Jack, 2008)"},"properties":{"noteIndex":0},"schema":"https://github.com/citation-style-language/schema/raw/master/csl-citation.json"}</w:instrText>
      </w:r>
      <w:r w:rsidR="001233E8">
        <w:rPr>
          <w:rFonts w:ascii="Arial" w:eastAsia="Arial" w:hAnsi="Arial" w:cs="Arial"/>
          <w:sz w:val="24"/>
          <w:szCs w:val="24"/>
        </w:rPr>
        <w:fldChar w:fldCharType="separate"/>
      </w:r>
      <w:r w:rsidR="001233E8" w:rsidRPr="001233E8">
        <w:rPr>
          <w:rFonts w:ascii="Arial" w:eastAsia="Arial" w:hAnsi="Arial" w:cs="Arial"/>
          <w:noProof/>
          <w:sz w:val="24"/>
          <w:szCs w:val="24"/>
        </w:rPr>
        <w:t>(Baxter and Jack, 2008)</w:t>
      </w:r>
      <w:r w:rsidR="001233E8">
        <w:rPr>
          <w:rFonts w:ascii="Arial" w:eastAsia="Arial" w:hAnsi="Arial" w:cs="Arial"/>
          <w:sz w:val="24"/>
          <w:szCs w:val="24"/>
        </w:rPr>
        <w:fldChar w:fldCharType="end"/>
      </w:r>
      <w:r w:rsidR="001233E8">
        <w:rPr>
          <w:rFonts w:ascii="Arial" w:eastAsia="Arial" w:hAnsi="Arial" w:cs="Arial"/>
          <w:sz w:val="24"/>
          <w:szCs w:val="24"/>
        </w:rPr>
        <w:t xml:space="preserve">. </w:t>
      </w:r>
      <w:r>
        <w:rPr>
          <w:rFonts w:ascii="Arial" w:eastAsia="Arial" w:hAnsi="Arial" w:cs="Arial"/>
          <w:sz w:val="24"/>
          <w:szCs w:val="24"/>
        </w:rPr>
        <w:t xml:space="preserve">In this study, the case consists of participants currently enrolled in a program at Gaza English Course, Kampung </w:t>
      </w:r>
      <w:proofErr w:type="spellStart"/>
      <w:r>
        <w:rPr>
          <w:rFonts w:ascii="Arial" w:eastAsia="Arial" w:hAnsi="Arial" w:cs="Arial"/>
          <w:sz w:val="24"/>
          <w:szCs w:val="24"/>
        </w:rPr>
        <w:t>Inggris</w:t>
      </w:r>
      <w:proofErr w:type="spellEnd"/>
      <w:r>
        <w:rPr>
          <w:rFonts w:ascii="Arial" w:eastAsia="Arial" w:hAnsi="Arial" w:cs="Arial"/>
          <w:sz w:val="24"/>
          <w:szCs w:val="24"/>
        </w:rPr>
        <w:t xml:space="preserve"> Pare. This case was selected not merely for its uniqueness but because it represents a rich and underexplored example of how motivation operates within a non-formal, immersive English language learning environment in Indonesia. By examining this case in depth, the researcher aims to generate broader insights into motivational dynamics in similar contexts across the country.</w:t>
      </w:r>
    </w:p>
    <w:p w14:paraId="7F1EBCDD" w14:textId="77777777" w:rsidR="00873863" w:rsidRDefault="00B671FB">
      <w:pPr>
        <w:spacing w:before="180" w:after="100"/>
      </w:pPr>
      <w:r>
        <w:rPr>
          <w:rFonts w:ascii="Arial" w:eastAsia="Arial" w:hAnsi="Arial" w:cs="Arial"/>
          <w:b/>
          <w:bCs/>
          <w:sz w:val="24"/>
          <w:szCs w:val="24"/>
        </w:rPr>
        <w:t>Participants</w:t>
      </w:r>
    </w:p>
    <w:p w14:paraId="59406684" w14:textId="2C1C7CE5" w:rsidR="00873863" w:rsidRDefault="00B671FB">
      <w:pPr>
        <w:spacing w:line="360" w:lineRule="auto"/>
        <w:jc w:val="both"/>
      </w:pPr>
      <w:r>
        <w:rPr>
          <w:rFonts w:ascii="Arial" w:eastAsia="Arial" w:hAnsi="Arial" w:cs="Arial"/>
          <w:sz w:val="24"/>
          <w:szCs w:val="24"/>
        </w:rPr>
        <w:t xml:space="preserve">Participants were selected using purposive sampling, which involves the deliberate selection of individuals based on specific criteria relevant to the research focus </w:t>
      </w:r>
      <w:r w:rsidR="001233E8">
        <w:rPr>
          <w:rFonts w:ascii="Arial" w:eastAsia="Arial" w:hAnsi="Arial" w:cs="Arial"/>
          <w:sz w:val="24"/>
          <w:szCs w:val="24"/>
        </w:rPr>
        <w:fldChar w:fldCharType="begin" w:fldLock="1"/>
      </w:r>
      <w:r w:rsidR="001233E8">
        <w:rPr>
          <w:rFonts w:ascii="Arial" w:eastAsia="Arial" w:hAnsi="Arial" w:cs="Arial"/>
          <w:sz w:val="24"/>
          <w:szCs w:val="24"/>
        </w:rPr>
        <w:instrText>ADDIN CSL_CITATION {"citationItems":[{"id":"ITEM-1","itemData":{"ISBN":"8801716397","author":[{"dropping-particle":"","family":"Mohajan","given":"Haradhan Kumar","non-dropping-particle":"","parse-names":false,"suffix":""}],"id":"ITEM-1","issue":"1","issued":{"date-parts":[["2018"]]},"page":"23-48","title":"Qualitative research methodology in social sciences and related subjects","type":"article-journal","volume":"7"},"uris":["http://www.mendeley.com/documents/?uuid=87d09180-3581-4840-9684-3fe38329afd0"]}],"mendeley":{"formattedCitation":"(Mohajan, 2018)","plainTextFormattedCitation":"(Mohajan, 2018)","previouslyFormattedCitation":"(Mohajan, 2018)"},"properties":{"noteIndex":0},"schema":"https://github.com/citation-style-language/schema/raw/master/csl-citation.json"}</w:instrText>
      </w:r>
      <w:r w:rsidR="001233E8">
        <w:rPr>
          <w:rFonts w:ascii="Arial" w:eastAsia="Arial" w:hAnsi="Arial" w:cs="Arial"/>
          <w:sz w:val="24"/>
          <w:szCs w:val="24"/>
        </w:rPr>
        <w:fldChar w:fldCharType="separate"/>
      </w:r>
      <w:r w:rsidR="001233E8" w:rsidRPr="001233E8">
        <w:rPr>
          <w:rFonts w:ascii="Arial" w:eastAsia="Arial" w:hAnsi="Arial" w:cs="Arial"/>
          <w:noProof/>
          <w:sz w:val="24"/>
          <w:szCs w:val="24"/>
        </w:rPr>
        <w:t>(Mohajan, 2018)</w:t>
      </w:r>
      <w:r w:rsidR="001233E8">
        <w:rPr>
          <w:rFonts w:ascii="Arial" w:eastAsia="Arial" w:hAnsi="Arial" w:cs="Arial"/>
          <w:sz w:val="24"/>
          <w:szCs w:val="24"/>
        </w:rPr>
        <w:fldChar w:fldCharType="end"/>
      </w:r>
      <w:r w:rsidR="001233E8">
        <w:rPr>
          <w:rFonts w:ascii="Arial" w:eastAsia="Arial" w:hAnsi="Arial" w:cs="Arial"/>
          <w:sz w:val="24"/>
          <w:szCs w:val="24"/>
        </w:rPr>
        <w:t xml:space="preserve"> </w:t>
      </w:r>
      <w:r>
        <w:rPr>
          <w:rFonts w:ascii="Arial" w:eastAsia="Arial" w:hAnsi="Arial" w:cs="Arial"/>
          <w:sz w:val="24"/>
          <w:szCs w:val="24"/>
        </w:rPr>
        <w:t xml:space="preserve">The criteria for inclusion were as follows: (1) being an active </w:t>
      </w:r>
      <w:r>
        <w:rPr>
          <w:rFonts w:ascii="Arial" w:eastAsia="Arial" w:hAnsi="Arial" w:cs="Arial"/>
          <w:sz w:val="24"/>
          <w:szCs w:val="24"/>
        </w:rPr>
        <w:lastRenderedPageBreak/>
        <w:t xml:space="preserve">participant in a program at Gaza English Course at the time of the research, (2) having attended the program for a minimum of four weeks so as to have sufficient experience to reflect upon, and (3) being willing to participate in in-depth interviews voluntarily. Based on these criteria, this study involved 6 to 8 participants. This number was determined on the grounds that in qualitative research, the adequacy of a sample is not judged by its size but by the depth and richness of information that each participant can provide </w:t>
      </w:r>
      <w:r w:rsidR="001233E8">
        <w:rPr>
          <w:rFonts w:ascii="Arial" w:eastAsia="Arial" w:hAnsi="Arial" w:cs="Arial"/>
          <w:sz w:val="24"/>
          <w:szCs w:val="24"/>
        </w:rPr>
        <w:fldChar w:fldCharType="begin" w:fldLock="1"/>
      </w:r>
      <w:r w:rsidR="001233E8">
        <w:rPr>
          <w:rFonts w:ascii="Arial" w:eastAsia="Arial" w:hAnsi="Arial" w:cs="Arial"/>
          <w:sz w:val="24"/>
          <w:szCs w:val="24"/>
        </w:rPr>
        <w:instrText>ADDIN CSL_CITATION {"citationItems":[{"id":"ITEM-1","itemData":{"author":[{"dropping-particle":"","family":"Yazan","given":"Bedrettin","non-dropping-particle":"","parse-names":false,"suffix":""}],"id":"ITEM-1","issue":"2","issued":{"date-parts":[["2015"]]},"page":"134-152","title":"Three Approaches to Case Study Methods in Education : Yin , Merriam , and Stake Three Approaches to Case Study Methods in Education : Yin , Merriam , and Stake","type":"article-journal","volume":"20"},"uris":["http://www.mendeley.com/documents/?uuid=5be1b2f5-f57b-455a-9896-b3b54e2e8f74"]}],"mendeley":{"formattedCitation":"(Yazan, 2015)","plainTextFormattedCitation":"(Yazan, 2015)","previouslyFormattedCitation":"(Yazan, 2015)"},"properties":{"noteIndex":0},"schema":"https://github.com/citation-style-language/schema/raw/master/csl-citation.json"}</w:instrText>
      </w:r>
      <w:r w:rsidR="001233E8">
        <w:rPr>
          <w:rFonts w:ascii="Arial" w:eastAsia="Arial" w:hAnsi="Arial" w:cs="Arial"/>
          <w:sz w:val="24"/>
          <w:szCs w:val="24"/>
        </w:rPr>
        <w:fldChar w:fldCharType="separate"/>
      </w:r>
      <w:r w:rsidR="001233E8" w:rsidRPr="001233E8">
        <w:rPr>
          <w:rFonts w:ascii="Arial" w:eastAsia="Arial" w:hAnsi="Arial" w:cs="Arial"/>
          <w:noProof/>
          <w:sz w:val="24"/>
          <w:szCs w:val="24"/>
        </w:rPr>
        <w:t>(Yazan, 2015)</w:t>
      </w:r>
      <w:r w:rsidR="001233E8">
        <w:rPr>
          <w:rFonts w:ascii="Arial" w:eastAsia="Arial" w:hAnsi="Arial" w:cs="Arial"/>
          <w:sz w:val="24"/>
          <w:szCs w:val="24"/>
        </w:rPr>
        <w:fldChar w:fldCharType="end"/>
      </w:r>
      <w:r w:rsidR="001233E8">
        <w:rPr>
          <w:rFonts w:ascii="Arial" w:eastAsia="Arial" w:hAnsi="Arial" w:cs="Arial"/>
          <w:sz w:val="24"/>
          <w:szCs w:val="24"/>
        </w:rPr>
        <w:t>.</w:t>
      </w:r>
    </w:p>
    <w:p w14:paraId="16A9B617" w14:textId="77777777" w:rsidR="00873863" w:rsidRDefault="00B671FB">
      <w:pPr>
        <w:spacing w:before="180" w:after="100"/>
      </w:pPr>
      <w:r>
        <w:rPr>
          <w:rFonts w:ascii="Arial" w:eastAsia="Arial" w:hAnsi="Arial" w:cs="Arial"/>
          <w:b/>
          <w:bCs/>
          <w:sz w:val="24"/>
          <w:szCs w:val="24"/>
        </w:rPr>
        <w:t>Instruments</w:t>
      </w:r>
    </w:p>
    <w:p w14:paraId="07BB458F" w14:textId="70E7A830" w:rsidR="00873863" w:rsidRDefault="00B671FB">
      <w:pPr>
        <w:spacing w:line="360" w:lineRule="auto"/>
        <w:jc w:val="both"/>
      </w:pPr>
      <w:r>
        <w:rPr>
          <w:rFonts w:ascii="Arial" w:eastAsia="Arial" w:hAnsi="Arial" w:cs="Arial"/>
          <w:sz w:val="24"/>
          <w:szCs w:val="24"/>
        </w:rPr>
        <w:t xml:space="preserve">The primary instrument in this qualitative study was the researcher herself, as data collection and interpretation were mediated through her perception, judgment, and analytical capacity </w:t>
      </w:r>
      <w:r w:rsidR="001233E8">
        <w:rPr>
          <w:rFonts w:ascii="Arial" w:eastAsia="Arial" w:hAnsi="Arial" w:cs="Arial"/>
          <w:sz w:val="24"/>
          <w:szCs w:val="24"/>
        </w:rPr>
        <w:fldChar w:fldCharType="begin" w:fldLock="1"/>
      </w:r>
      <w:r w:rsidR="001233E8">
        <w:rPr>
          <w:rFonts w:ascii="Arial" w:eastAsia="Arial" w:hAnsi="Arial" w:cs="Arial"/>
          <w:sz w:val="24"/>
          <w:szCs w:val="24"/>
        </w:rPr>
        <w:instrText>ADDIN CSL_CITATION {"citationItems":[{"id":"ITEM-1","itemData":{"ISBN":"8801716397","author":[{"dropping-particle":"","family":"Mohajan","given":"Haradhan Kumar","non-dropping-particle":"","parse-names":false,"suffix":""}],"id":"ITEM-1","issue":"1","issued":{"date-parts":[["2018"]]},"page":"23-48","title":"Qualitative research methodology in social sciences and related subjects","type":"article-journal","volume":"7"},"uris":["http://www.mendeley.com/documents/?uuid=87d09180-3581-4840-9684-3fe38329afd0"]}],"mendeley":{"formattedCitation":"(Mohajan, 2018)","plainTextFormattedCitation":"(Mohajan, 2018)","previouslyFormattedCitation":"(Mohajan, 2018)"},"properties":{"noteIndex":0},"schema":"https://github.com/citation-style-language/schema/raw/master/csl-citation.json"}</w:instrText>
      </w:r>
      <w:r w:rsidR="001233E8">
        <w:rPr>
          <w:rFonts w:ascii="Arial" w:eastAsia="Arial" w:hAnsi="Arial" w:cs="Arial"/>
          <w:sz w:val="24"/>
          <w:szCs w:val="24"/>
        </w:rPr>
        <w:fldChar w:fldCharType="separate"/>
      </w:r>
      <w:r w:rsidR="001233E8" w:rsidRPr="001233E8">
        <w:rPr>
          <w:rFonts w:ascii="Arial" w:eastAsia="Arial" w:hAnsi="Arial" w:cs="Arial"/>
          <w:noProof/>
          <w:sz w:val="24"/>
          <w:szCs w:val="24"/>
        </w:rPr>
        <w:t>(Mohajan, 2018)</w:t>
      </w:r>
      <w:r w:rsidR="001233E8">
        <w:rPr>
          <w:rFonts w:ascii="Arial" w:eastAsia="Arial" w:hAnsi="Arial" w:cs="Arial"/>
          <w:sz w:val="24"/>
          <w:szCs w:val="24"/>
        </w:rPr>
        <w:fldChar w:fldCharType="end"/>
      </w:r>
      <w:r w:rsidR="001233E8">
        <w:rPr>
          <w:rFonts w:ascii="Arial" w:eastAsia="Arial" w:hAnsi="Arial" w:cs="Arial"/>
          <w:sz w:val="24"/>
          <w:szCs w:val="24"/>
        </w:rPr>
        <w:t xml:space="preserve">. </w:t>
      </w:r>
      <w:r>
        <w:rPr>
          <w:rFonts w:ascii="Arial" w:eastAsia="Arial" w:hAnsi="Arial" w:cs="Arial"/>
          <w:sz w:val="24"/>
          <w:szCs w:val="24"/>
        </w:rPr>
        <w:t xml:space="preserve">To ensure systematic and accountable data collection, three supporting instruments were employed. The first was a semi-structured interview guide developed to align directly with the three research questions of this study, covering motivational factors, learning experiences, and factors that support or hinder motivation. </w:t>
      </w:r>
      <w:r w:rsidR="001233E8">
        <w:rPr>
          <w:rFonts w:ascii="Arial" w:eastAsia="Arial" w:hAnsi="Arial" w:cs="Arial"/>
          <w:sz w:val="24"/>
          <w:szCs w:val="24"/>
        </w:rPr>
        <w:fldChar w:fldCharType="begin" w:fldLock="1"/>
      </w:r>
      <w:r w:rsidR="003438F9">
        <w:rPr>
          <w:rFonts w:ascii="Arial" w:eastAsia="Arial" w:hAnsi="Arial" w:cs="Arial"/>
          <w:sz w:val="24"/>
          <w:szCs w:val="24"/>
        </w:rPr>
        <w:instrText>ADDIN CSL_CITATION {"citationItems":[{"id":"ITEM-1","itemData":{"DOI":"10.1002/j.1545-7249.2008.tb00207.x","author":[{"dropping-particle":"","family":"Guilloteaux","given":"Marie Jose","non-dropping-particle":"","parse-names":false,"suffix":""},{"dropping-particle":"","family":"Dörnyei","given":"Zoltán","non-dropping-particle":"","parse-names":false,"suffix":""}],"container-title":"TESOL Quarterly","id":"ITEM-1","issue":"1","issued":{"date-parts":[["2008"]]},"page":"55-77","title":"Motivating language learners: A classroom-oriented investigation of the effects of motivational strategies on student motivation","type":"article-journal","volume":"42"},"uris":["http://www.mendeley.com/documents/?uuid=d3750096-483a-4fa4-8857-0e1e90661554"]}],"mendeley":{"formattedCitation":"(Guilloteaux and Dörnyei, 2008)","plainTextFormattedCitation":"(Guilloteaux and Dörnyei, 2008)","previouslyFormattedCitation":"(Guilloteaux and Dörnyei, 2008)"},"properties":{"noteIndex":0},"schema":"https://github.com/citation-style-language/schema/raw/master/csl-citation.json"}</w:instrText>
      </w:r>
      <w:r w:rsidR="001233E8">
        <w:rPr>
          <w:rFonts w:ascii="Arial" w:eastAsia="Arial" w:hAnsi="Arial" w:cs="Arial"/>
          <w:sz w:val="24"/>
          <w:szCs w:val="24"/>
        </w:rPr>
        <w:fldChar w:fldCharType="separate"/>
      </w:r>
      <w:r w:rsidR="001233E8" w:rsidRPr="001233E8">
        <w:rPr>
          <w:rFonts w:ascii="Arial" w:eastAsia="Arial" w:hAnsi="Arial" w:cs="Arial"/>
          <w:noProof/>
          <w:sz w:val="24"/>
          <w:szCs w:val="24"/>
        </w:rPr>
        <w:t>(Guilloteaux and Dörnyei, 2008)</w:t>
      </w:r>
      <w:r w:rsidR="001233E8">
        <w:rPr>
          <w:rFonts w:ascii="Arial" w:eastAsia="Arial" w:hAnsi="Arial" w:cs="Arial"/>
          <w:sz w:val="24"/>
          <w:szCs w:val="24"/>
        </w:rPr>
        <w:fldChar w:fldCharType="end"/>
      </w:r>
      <w:r w:rsidR="001233E8">
        <w:rPr>
          <w:rFonts w:ascii="Arial" w:eastAsia="Arial" w:hAnsi="Arial" w:cs="Arial"/>
          <w:sz w:val="24"/>
          <w:szCs w:val="24"/>
        </w:rPr>
        <w:t xml:space="preserve"> </w:t>
      </w:r>
      <w:r>
        <w:rPr>
          <w:rFonts w:ascii="Arial" w:eastAsia="Arial" w:hAnsi="Arial" w:cs="Arial"/>
          <w:sz w:val="24"/>
          <w:szCs w:val="24"/>
        </w:rPr>
        <w:t xml:space="preserve">emphasized that investigating motivation in language learning requires instruments that are sensitive to both observable </w:t>
      </w:r>
      <w:proofErr w:type="spellStart"/>
      <w:r>
        <w:rPr>
          <w:rFonts w:ascii="Arial" w:eastAsia="Arial" w:hAnsi="Arial" w:cs="Arial"/>
          <w:sz w:val="24"/>
          <w:szCs w:val="24"/>
        </w:rPr>
        <w:t>behaviors</w:t>
      </w:r>
      <w:proofErr w:type="spellEnd"/>
      <w:r>
        <w:rPr>
          <w:rFonts w:ascii="Arial" w:eastAsia="Arial" w:hAnsi="Arial" w:cs="Arial"/>
          <w:sz w:val="24"/>
          <w:szCs w:val="24"/>
        </w:rPr>
        <w:t xml:space="preserve"> and the learners’ subjective interpretations of their experiences. The guide was therefore reviewed and validated through expert judgment prior to fieldwork. The second was an observation checklist designed to document observable learning </w:t>
      </w:r>
      <w:proofErr w:type="spellStart"/>
      <w:r>
        <w:rPr>
          <w:rFonts w:ascii="Arial" w:eastAsia="Arial" w:hAnsi="Arial" w:cs="Arial"/>
          <w:sz w:val="24"/>
          <w:szCs w:val="24"/>
        </w:rPr>
        <w:t>behaviors</w:t>
      </w:r>
      <w:proofErr w:type="spellEnd"/>
      <w:r>
        <w:rPr>
          <w:rFonts w:ascii="Arial" w:eastAsia="Arial" w:hAnsi="Arial" w:cs="Arial"/>
          <w:sz w:val="24"/>
          <w:szCs w:val="24"/>
        </w:rPr>
        <w:t>, classroom interactions, and contextual factors during fieldwork sessions. The third was a documentation list that served as a structured guide for collecting secondary data such as institutional documents, course schedules, and field photographs.</w:t>
      </w:r>
    </w:p>
    <w:p w14:paraId="36683114" w14:textId="77777777" w:rsidR="00873863" w:rsidRDefault="00B671FB">
      <w:pPr>
        <w:spacing w:before="180" w:after="100"/>
      </w:pPr>
      <w:r>
        <w:rPr>
          <w:rFonts w:ascii="Arial" w:eastAsia="Arial" w:hAnsi="Arial" w:cs="Arial"/>
          <w:b/>
          <w:bCs/>
          <w:sz w:val="24"/>
          <w:szCs w:val="24"/>
        </w:rPr>
        <w:t>Procedures</w:t>
      </w:r>
    </w:p>
    <w:p w14:paraId="562F9399" w14:textId="5F8DA0E8" w:rsidR="00873863" w:rsidRDefault="00B671FB">
      <w:pPr>
        <w:spacing w:line="360" w:lineRule="auto"/>
        <w:jc w:val="both"/>
      </w:pPr>
      <w:r>
        <w:rPr>
          <w:rFonts w:ascii="Arial" w:eastAsia="Arial" w:hAnsi="Arial" w:cs="Arial"/>
          <w:sz w:val="24"/>
          <w:szCs w:val="24"/>
        </w:rPr>
        <w:t>Data collection was carried out through three complementary techniques: in-depth interviews, observation, and documentation</w:t>
      </w:r>
      <w:r w:rsidR="004B4B5C">
        <w:rPr>
          <w:rFonts w:ascii="Arial" w:eastAsia="Arial" w:hAnsi="Arial" w:cs="Arial"/>
          <w:sz w:val="24"/>
          <w:szCs w:val="24"/>
        </w:rPr>
        <w:t xml:space="preserve"> </w:t>
      </w:r>
      <w:r w:rsidR="004B4B5C">
        <w:rPr>
          <w:rFonts w:ascii="Arial" w:eastAsia="Arial" w:hAnsi="Arial" w:cs="Arial"/>
          <w:sz w:val="24"/>
          <w:szCs w:val="24"/>
        </w:rPr>
        <w:fldChar w:fldCharType="begin" w:fldLock="1"/>
      </w:r>
      <w:r w:rsidR="004B4B5C">
        <w:rPr>
          <w:rFonts w:ascii="Arial" w:eastAsia="Arial" w:hAnsi="Arial" w:cs="Arial"/>
          <w:sz w:val="24"/>
          <w:szCs w:val="24"/>
        </w:rPr>
        <w:instrText>ADDIN CSL_CITATION {"citationItems":[{"id":"ITEM-1","itemData":{"author":[{"dropping-particle":"","family":"Baxter","given":"Pamela","non-dropping-particle":"","parse-names":false,"suffix":""},{"dropping-particle":"","family":"Jack","given":"Susan","non-dropping-particle":"","parse-names":false,"suffix":""}],"id":"ITEM-1","issue":"4","issued":{"date-parts":[["2008"]]},"page":"544-559","title":"Qualitative Case Study Methodology : Study Design and Implementation for Novice Researchers Qualitative Case Study Methodology : Study Design and Implementation for","type":"article-journal","volume":"13"},"uris":["http://www.mendeley.com/documents/?uuid=6a844bfb-c72c-4829-be6a-9bcf759b242d"]},{"id":"ITEM-2","itemData":{"ISBN":"8801716397","author":[{"dropping-particle":"","family":"Mohajan","given":"Haradhan Kumar","non-dropping-particle":"","parse-names":false,"suffix":""}],"id":"ITEM-2","issue":"1","issued":{"date-parts":[["2018"]]},"page":"23-48","title":"Qualitative research methodology in social sciences and related subjects","type":"article-journal","volume":"7"},"uris":["http://www.mendeley.com/documents/?uuid=87d09180-3581-4840-9684-3fe38329afd0"]}],"mendeley":{"formattedCitation":"(Baxter and Jack, 2008; Mohajan, 2018)","plainTextFormattedCitation":"(Baxter and Jack, 2008; Mohajan, 2018)","previouslyFormattedCitation":"(Baxter and Jack, 2008; Mohajan, 2018)"},"properties":{"noteIndex":0},"schema":"https://github.com/citation-style-language/schema/raw/master/csl-citation.json"}</w:instrText>
      </w:r>
      <w:r w:rsidR="004B4B5C">
        <w:rPr>
          <w:rFonts w:ascii="Arial" w:eastAsia="Arial" w:hAnsi="Arial" w:cs="Arial"/>
          <w:sz w:val="24"/>
          <w:szCs w:val="24"/>
        </w:rPr>
        <w:fldChar w:fldCharType="separate"/>
      </w:r>
      <w:r w:rsidR="004B4B5C" w:rsidRPr="004B4B5C">
        <w:rPr>
          <w:rFonts w:ascii="Arial" w:eastAsia="Arial" w:hAnsi="Arial" w:cs="Arial"/>
          <w:noProof/>
          <w:sz w:val="24"/>
          <w:szCs w:val="24"/>
        </w:rPr>
        <w:t>(Baxter and Jack, 2008; Mohajan, 2018)</w:t>
      </w:r>
      <w:r w:rsidR="004B4B5C">
        <w:rPr>
          <w:rFonts w:ascii="Arial" w:eastAsia="Arial" w:hAnsi="Arial" w:cs="Arial"/>
          <w:sz w:val="24"/>
          <w:szCs w:val="24"/>
        </w:rPr>
        <w:fldChar w:fldCharType="end"/>
      </w:r>
      <w:r>
        <w:rPr>
          <w:rFonts w:ascii="Arial" w:eastAsia="Arial" w:hAnsi="Arial" w:cs="Arial"/>
          <w:sz w:val="24"/>
          <w:szCs w:val="24"/>
        </w:rPr>
        <w:t xml:space="preserve">. In-depth semi-structured interviews were conducted individually with each selected participant at Gaza English Course. Each session was audio-recorded with the participant’s prior consent and subsequently transcribed verbatim for analysis. The semi-structured format was chosen because it provides sufficient structure to ensure all research questions are addressed while allowing the researcher to follow unexpected yet relevant threads raised by participants, a flexibility that is particularly important when exploring a phenomenon as personal and context-specific as language </w:t>
      </w:r>
      <w:r>
        <w:rPr>
          <w:rFonts w:ascii="Arial" w:eastAsia="Arial" w:hAnsi="Arial" w:cs="Arial"/>
          <w:sz w:val="24"/>
          <w:szCs w:val="24"/>
        </w:rPr>
        <w:lastRenderedPageBreak/>
        <w:t xml:space="preserve">learning motivation </w:t>
      </w:r>
      <w:r w:rsidR="003438F9">
        <w:rPr>
          <w:rFonts w:ascii="Arial" w:eastAsia="Arial" w:hAnsi="Arial" w:cs="Arial"/>
          <w:sz w:val="24"/>
          <w:szCs w:val="24"/>
        </w:rPr>
        <w:fldChar w:fldCharType="begin" w:fldLock="1"/>
      </w:r>
      <w:r w:rsidR="003438F9">
        <w:rPr>
          <w:rFonts w:ascii="Arial" w:eastAsia="Arial" w:hAnsi="Arial" w:cs="Arial"/>
          <w:sz w:val="24"/>
          <w:szCs w:val="24"/>
        </w:rPr>
        <w:instrText>ADDIN CSL_CITATION {"citationItems":[{"id":"ITEM-1","itemData":{"author":[{"dropping-particle":"","family":"Noels","given":"Kimberly A","non-dropping-particle":"","parse-names":false,"suffix":""},{"dropping-particle":"","family":"Pelletier","given":"Luc G","non-dropping-particle":"","parse-names":false,"suffix":""},{"dropping-particle":"","family":"Clément","given":"Richard","non-dropping-particle":"","parse-names":false,"suffix":""},{"dropping-particle":"","family":"Vallerand","given":"Robert J","non-dropping-particle":"","parse-names":false,"suffix":""}],"id":"ITEM-1","issue":"February","issued":{"date-parts":[["2000"]]},"page":"57-85","title":"Why Are You Learning a Second Language ? Motivational Orientations and Self-Determination Theory","type":"article-journal"},"uris":["http://www.mendeley.com/documents/?uuid=9d790a88-8593-4ca5-bf64-bba2f64fc242"]}],"mendeley":{"formattedCitation":"(Noels &lt;i&gt;et al.&lt;/i&gt;, 2000)","manualFormatting":"(Noels et al. 2000)","plainTextFormattedCitation":"(Noels et al., 2000)","previouslyFormattedCitation":"(Noels &lt;i&gt;et al.&lt;/i&gt;, 2000)"},"properties":{"noteIndex":0},"schema":"https://github.com/citation-style-language/schema/raw/master/csl-citation.json"}</w:instrText>
      </w:r>
      <w:r w:rsidR="003438F9">
        <w:rPr>
          <w:rFonts w:ascii="Arial" w:eastAsia="Arial" w:hAnsi="Arial" w:cs="Arial"/>
          <w:sz w:val="24"/>
          <w:szCs w:val="24"/>
        </w:rPr>
        <w:fldChar w:fldCharType="separate"/>
      </w:r>
      <w:r w:rsidR="003438F9" w:rsidRPr="003438F9">
        <w:rPr>
          <w:rFonts w:ascii="Arial" w:eastAsia="Arial" w:hAnsi="Arial" w:cs="Arial"/>
          <w:noProof/>
          <w:sz w:val="24"/>
          <w:szCs w:val="24"/>
        </w:rPr>
        <w:t xml:space="preserve">(Noels </w:t>
      </w:r>
      <w:r w:rsidR="003438F9" w:rsidRPr="003438F9">
        <w:rPr>
          <w:rFonts w:ascii="Arial" w:eastAsia="Arial" w:hAnsi="Arial" w:cs="Arial"/>
          <w:i/>
          <w:noProof/>
          <w:sz w:val="24"/>
          <w:szCs w:val="24"/>
        </w:rPr>
        <w:t>et al.</w:t>
      </w:r>
      <w:r w:rsidR="003438F9" w:rsidRPr="003438F9">
        <w:rPr>
          <w:rFonts w:ascii="Arial" w:eastAsia="Arial" w:hAnsi="Arial" w:cs="Arial"/>
          <w:noProof/>
          <w:sz w:val="24"/>
          <w:szCs w:val="24"/>
        </w:rPr>
        <w:t xml:space="preserve"> 2000)</w:t>
      </w:r>
      <w:r w:rsidR="003438F9">
        <w:rPr>
          <w:rFonts w:ascii="Arial" w:eastAsia="Arial" w:hAnsi="Arial" w:cs="Arial"/>
          <w:sz w:val="24"/>
          <w:szCs w:val="24"/>
        </w:rPr>
        <w:fldChar w:fldCharType="end"/>
      </w:r>
      <w:r w:rsidR="003438F9">
        <w:rPr>
          <w:rFonts w:ascii="Arial" w:eastAsia="Arial" w:hAnsi="Arial" w:cs="Arial"/>
          <w:sz w:val="24"/>
          <w:szCs w:val="24"/>
        </w:rPr>
        <w:t xml:space="preserve">. </w:t>
      </w:r>
      <w:r>
        <w:rPr>
          <w:rFonts w:ascii="Arial" w:eastAsia="Arial" w:hAnsi="Arial" w:cs="Arial"/>
          <w:sz w:val="24"/>
          <w:szCs w:val="24"/>
        </w:rPr>
        <w:t>Non-participant observation was carried out during learning activities to document how participants behaved within the learning environment and to identify observable expressions of motivation, engagement, or disengagement. Field notes were written systematically during and immediately after each observation session. Supporting documents, including course schedules, program descriptions, and institutional materials, were also collected to provide structural and programmatic context for the learning environment.</w:t>
      </w:r>
    </w:p>
    <w:p w14:paraId="7A3E2B6C" w14:textId="77777777" w:rsidR="00873863" w:rsidRDefault="00B671FB">
      <w:pPr>
        <w:spacing w:before="180" w:after="100"/>
      </w:pPr>
      <w:r>
        <w:rPr>
          <w:rFonts w:ascii="Arial" w:eastAsia="Arial" w:hAnsi="Arial" w:cs="Arial"/>
          <w:b/>
          <w:bCs/>
          <w:sz w:val="24"/>
          <w:szCs w:val="24"/>
        </w:rPr>
        <w:t>Data Analysis</w:t>
      </w:r>
    </w:p>
    <w:p w14:paraId="3E14BC14" w14:textId="11B21179" w:rsidR="00873863" w:rsidRDefault="00B671FB">
      <w:pPr>
        <w:spacing w:line="360" w:lineRule="auto"/>
        <w:jc w:val="both"/>
      </w:pPr>
      <w:r>
        <w:rPr>
          <w:rFonts w:ascii="Arial" w:eastAsia="Arial" w:hAnsi="Arial" w:cs="Arial"/>
          <w:sz w:val="24"/>
          <w:szCs w:val="24"/>
        </w:rPr>
        <w:t xml:space="preserve">Data were </w:t>
      </w:r>
      <w:proofErr w:type="spellStart"/>
      <w:r>
        <w:rPr>
          <w:rFonts w:ascii="Arial" w:eastAsia="Arial" w:hAnsi="Arial" w:cs="Arial"/>
          <w:sz w:val="24"/>
          <w:szCs w:val="24"/>
        </w:rPr>
        <w:t>analyzed</w:t>
      </w:r>
      <w:proofErr w:type="spellEnd"/>
      <w:r>
        <w:rPr>
          <w:rFonts w:ascii="Arial" w:eastAsia="Arial" w:hAnsi="Arial" w:cs="Arial"/>
          <w:sz w:val="24"/>
          <w:szCs w:val="24"/>
        </w:rPr>
        <w:t xml:space="preserve"> using reflexive thematic analysis following the six-phase framework guided by </w:t>
      </w:r>
      <w:r w:rsidR="003438F9">
        <w:rPr>
          <w:rFonts w:ascii="Arial" w:eastAsia="Arial" w:hAnsi="Arial" w:cs="Arial"/>
          <w:sz w:val="24"/>
          <w:szCs w:val="24"/>
        </w:rPr>
        <w:fldChar w:fldCharType="begin" w:fldLock="1"/>
      </w:r>
      <w:r w:rsidR="003438F9">
        <w:rPr>
          <w:rFonts w:ascii="Arial" w:eastAsia="Arial" w:hAnsi="Arial" w:cs="Arial"/>
          <w:sz w:val="24"/>
          <w:szCs w:val="24"/>
        </w:rPr>
        <w:instrText>ADDIN CSL_CITATION {"citationItems":[{"id":"ITEM-1","itemData":{"DOI":"10.1177/1609406917733847","author":[{"dropping-particle":"","family":"Nowell","given":"Lorelli S","non-dropping-particle":"","parse-names":false,"suffix":""},{"dropping-particle":"","family":"Norris","given":"Jill M","non-dropping-particle":"","parse-names":false,"suffix":""},{"dropping-particle":"","family":"White","given":"Deborah E","non-dropping-particle":"","parse-names":false,"suffix":""},{"dropping-particle":"","family":"Moules","given":"Nancy J","non-dropping-particle":"","parse-names":false,"suffix":""}],"id":"ITEM-1","issued":{"date-parts":[["2017"]]},"page":"1-13","title":"Thematic Analysis : Striving to Meet the Trustworthiness Criteria","type":"article-journal","volume":"16"},"uris":["http://www.mendeley.com/documents/?uuid=e37c6387-b26c-44e0-8fa5-3a198fd79ccd"]}],"mendeley":{"formattedCitation":"(Nowell &lt;i&gt;et al.&lt;/i&gt;, 2017)","manualFormatting":"(Nowell et al. 2017)","plainTextFormattedCitation":"(Nowell et al., 2017)","previouslyFormattedCitation":"(Nowell &lt;i&gt;et al.&lt;/i&gt;, 2017)"},"properties":{"noteIndex":0},"schema":"https://github.com/citation-style-language/schema/raw/master/csl-citation.json"}</w:instrText>
      </w:r>
      <w:r w:rsidR="003438F9">
        <w:rPr>
          <w:rFonts w:ascii="Arial" w:eastAsia="Arial" w:hAnsi="Arial" w:cs="Arial"/>
          <w:sz w:val="24"/>
          <w:szCs w:val="24"/>
        </w:rPr>
        <w:fldChar w:fldCharType="separate"/>
      </w:r>
      <w:r w:rsidR="003438F9" w:rsidRPr="003438F9">
        <w:rPr>
          <w:rFonts w:ascii="Arial" w:eastAsia="Arial" w:hAnsi="Arial" w:cs="Arial"/>
          <w:noProof/>
          <w:sz w:val="24"/>
          <w:szCs w:val="24"/>
        </w:rPr>
        <w:t xml:space="preserve">(Nowell </w:t>
      </w:r>
      <w:r w:rsidR="003438F9" w:rsidRPr="003438F9">
        <w:rPr>
          <w:rFonts w:ascii="Arial" w:eastAsia="Arial" w:hAnsi="Arial" w:cs="Arial"/>
          <w:i/>
          <w:noProof/>
          <w:sz w:val="24"/>
          <w:szCs w:val="24"/>
        </w:rPr>
        <w:t>et al.</w:t>
      </w:r>
      <w:r w:rsidR="003438F9" w:rsidRPr="003438F9">
        <w:rPr>
          <w:rFonts w:ascii="Arial" w:eastAsia="Arial" w:hAnsi="Arial" w:cs="Arial"/>
          <w:noProof/>
          <w:sz w:val="24"/>
          <w:szCs w:val="24"/>
        </w:rPr>
        <w:t xml:space="preserve"> 2017)</w:t>
      </w:r>
      <w:r w:rsidR="003438F9">
        <w:rPr>
          <w:rFonts w:ascii="Arial" w:eastAsia="Arial" w:hAnsi="Arial" w:cs="Arial"/>
          <w:sz w:val="24"/>
          <w:szCs w:val="24"/>
        </w:rPr>
        <w:fldChar w:fldCharType="end"/>
      </w:r>
      <w:r w:rsidR="003438F9">
        <w:rPr>
          <w:rFonts w:ascii="Arial" w:eastAsia="Arial" w:hAnsi="Arial" w:cs="Arial"/>
          <w:sz w:val="24"/>
          <w:szCs w:val="24"/>
        </w:rPr>
        <w:t xml:space="preserve">. </w:t>
      </w:r>
      <w:r>
        <w:rPr>
          <w:rFonts w:ascii="Arial" w:eastAsia="Arial" w:hAnsi="Arial" w:cs="Arial"/>
          <w:sz w:val="24"/>
          <w:szCs w:val="24"/>
        </w:rPr>
        <w:t xml:space="preserve">The six phases were: (1) familiarization with data, through repeated reading of all transcripts, observation notes, and documents; (2) generating initial codes by systematically </w:t>
      </w:r>
      <w:proofErr w:type="spellStart"/>
      <w:r>
        <w:rPr>
          <w:rFonts w:ascii="Arial" w:eastAsia="Arial" w:hAnsi="Arial" w:cs="Arial"/>
          <w:sz w:val="24"/>
          <w:szCs w:val="24"/>
        </w:rPr>
        <w:t>labeling</w:t>
      </w:r>
      <w:proofErr w:type="spellEnd"/>
      <w:r>
        <w:rPr>
          <w:rFonts w:ascii="Arial" w:eastAsia="Arial" w:hAnsi="Arial" w:cs="Arial"/>
          <w:sz w:val="24"/>
          <w:szCs w:val="24"/>
        </w:rPr>
        <w:t xml:space="preserve"> meaningful units of information relevant to the research questions; (3) constructing themes by grouping related codes into broader thematic categories; (4) reviewing themes against the coded data to check for internal coherence and external distinction; (5) defining and naming themes clearly and precisely; and (6) producing the final report in the form of a coherent analytical narrative that addresses each research question and connects findings to the theoretical framework. To ensure the trustworthiness and credibility of the findings, data triangulation was applied by cross-checking findings from interviews, observations, and documents, as well as by comparing data across multiple participants </w:t>
      </w:r>
      <w:r w:rsidR="003438F9">
        <w:rPr>
          <w:rFonts w:ascii="Arial" w:eastAsia="Arial" w:hAnsi="Arial" w:cs="Arial"/>
          <w:sz w:val="24"/>
          <w:szCs w:val="24"/>
        </w:rPr>
        <w:fldChar w:fldCharType="begin" w:fldLock="1"/>
      </w:r>
      <w:r w:rsidR="003438F9">
        <w:rPr>
          <w:rFonts w:ascii="Arial" w:eastAsia="Arial" w:hAnsi="Arial" w:cs="Arial"/>
          <w:sz w:val="24"/>
          <w:szCs w:val="24"/>
        </w:rPr>
        <w:instrText>ADDIN CSL_CITATION {"citationItems":[{"id":"ITEM-1","itemData":{"DOI":"10.5590/JOSC.2018.10.1.02","author":[{"dropping-particle":"","family":"Fusch","given":"Patricia","non-dropping-particle":"","parse-names":false,"suffix":""},{"dropping-particle":"","family":"Fusch","given":"Gene E","non-dropping-particle":"","parse-names":false,"suffix":""},{"dropping-particle":"","family":"Ness","given":"Lawrence R","non-dropping-particle":"","parse-names":false,"suffix":""}],"id":"ITEM-1","issue":"1","issued":{"date-parts":[["2018"]]},"page":"19-32","title":"Denzin ’ s Paradigm Shift : Revisiting Triangulation in Qualitative","type":"article-journal","volume":"10"},"uris":["http://www.mendeley.com/documents/?uuid=92f2ca07-1d97-4637-a5c0-67c5eaaff503"]}],"mendeley":{"formattedCitation":"(Fusch, Fusch and Ness, 2018)","plainTextFormattedCitation":"(Fusch, Fusch and Ness, 2018)","previouslyFormattedCitation":"(Fusch, Fusch and Ness, 2018)"},"properties":{"noteIndex":0},"schema":"https://github.com/citation-style-language/schema/raw/master/csl-citation.json"}</w:instrText>
      </w:r>
      <w:r w:rsidR="003438F9">
        <w:rPr>
          <w:rFonts w:ascii="Arial" w:eastAsia="Arial" w:hAnsi="Arial" w:cs="Arial"/>
          <w:sz w:val="24"/>
          <w:szCs w:val="24"/>
        </w:rPr>
        <w:fldChar w:fldCharType="separate"/>
      </w:r>
      <w:r w:rsidR="003438F9" w:rsidRPr="003438F9">
        <w:rPr>
          <w:rFonts w:ascii="Arial" w:eastAsia="Arial" w:hAnsi="Arial" w:cs="Arial"/>
          <w:noProof/>
          <w:sz w:val="24"/>
          <w:szCs w:val="24"/>
        </w:rPr>
        <w:t>(Fusch, Fusch and Ness, 2018)</w:t>
      </w:r>
      <w:r w:rsidR="003438F9">
        <w:rPr>
          <w:rFonts w:ascii="Arial" w:eastAsia="Arial" w:hAnsi="Arial" w:cs="Arial"/>
          <w:sz w:val="24"/>
          <w:szCs w:val="24"/>
        </w:rPr>
        <w:fldChar w:fldCharType="end"/>
      </w:r>
      <w:r w:rsidR="003438F9">
        <w:rPr>
          <w:rFonts w:ascii="Arial" w:eastAsia="Arial" w:hAnsi="Arial" w:cs="Arial"/>
          <w:sz w:val="24"/>
          <w:szCs w:val="24"/>
        </w:rPr>
        <w:t>.</w:t>
      </w:r>
    </w:p>
    <w:p w14:paraId="3C803032" w14:textId="77777777" w:rsidR="00873863" w:rsidRDefault="00B671FB">
      <w:pPr>
        <w:spacing w:before="240" w:after="120"/>
      </w:pPr>
      <w:r>
        <w:rPr>
          <w:rFonts w:ascii="Arial" w:eastAsia="Arial" w:hAnsi="Arial" w:cs="Arial"/>
          <w:b/>
          <w:bCs/>
          <w:sz w:val="24"/>
          <w:szCs w:val="24"/>
        </w:rPr>
        <w:t>AUTHOR BIOGRAPHY</w:t>
      </w:r>
    </w:p>
    <w:p w14:paraId="1CC5BB58" w14:textId="77777777" w:rsidR="00873863" w:rsidRDefault="00B671FB">
      <w:pPr>
        <w:spacing w:line="360" w:lineRule="auto"/>
        <w:jc w:val="both"/>
      </w:pPr>
      <w:r>
        <w:rPr>
          <w:rFonts w:ascii="Arial" w:eastAsia="Arial" w:hAnsi="Arial" w:cs="Arial"/>
          <w:sz w:val="24"/>
          <w:szCs w:val="24"/>
        </w:rPr>
        <w:t xml:space="preserve">Anis Sahara is a student in the English Education Department at Universitas Islam Kadiri (UNISKA), who joined the university through the Recognition of Prior Learning (RPL) program in October 2025. Prior to her formal study, she gained substantial practical experience in English language education, having studied at Basic English Course, one of the pioneering institutions in Kampung </w:t>
      </w:r>
      <w:proofErr w:type="spellStart"/>
      <w:r>
        <w:rPr>
          <w:rFonts w:ascii="Arial" w:eastAsia="Arial" w:hAnsi="Arial" w:cs="Arial"/>
          <w:sz w:val="24"/>
          <w:szCs w:val="24"/>
        </w:rPr>
        <w:t>Inggris</w:t>
      </w:r>
      <w:proofErr w:type="spellEnd"/>
      <w:r>
        <w:rPr>
          <w:rFonts w:ascii="Arial" w:eastAsia="Arial" w:hAnsi="Arial" w:cs="Arial"/>
          <w:sz w:val="24"/>
          <w:szCs w:val="24"/>
        </w:rPr>
        <w:t xml:space="preserve"> Pare, and having taught English at several schools and Islamic boarding schools (</w:t>
      </w:r>
      <w:proofErr w:type="spellStart"/>
      <w:r>
        <w:rPr>
          <w:rFonts w:ascii="Arial" w:eastAsia="Arial" w:hAnsi="Arial" w:cs="Arial"/>
          <w:sz w:val="24"/>
          <w:szCs w:val="24"/>
        </w:rPr>
        <w:t>pesantren</w:t>
      </w:r>
      <w:proofErr w:type="spellEnd"/>
      <w:r>
        <w:rPr>
          <w:rFonts w:ascii="Arial" w:eastAsia="Arial" w:hAnsi="Arial" w:cs="Arial"/>
          <w:sz w:val="24"/>
          <w:szCs w:val="24"/>
        </w:rPr>
        <w:t xml:space="preserve">) in the region. Her research interest focuses on English learning motivation in non-formal and immersive learning environments, particularly in the context of Kampung </w:t>
      </w:r>
      <w:proofErr w:type="spellStart"/>
      <w:r>
        <w:rPr>
          <w:rFonts w:ascii="Arial" w:eastAsia="Arial" w:hAnsi="Arial" w:cs="Arial"/>
          <w:sz w:val="24"/>
          <w:szCs w:val="24"/>
        </w:rPr>
        <w:t>Inggris</w:t>
      </w:r>
      <w:proofErr w:type="spellEnd"/>
      <w:r>
        <w:rPr>
          <w:rFonts w:ascii="Arial" w:eastAsia="Arial" w:hAnsi="Arial" w:cs="Arial"/>
          <w:sz w:val="24"/>
          <w:szCs w:val="24"/>
        </w:rPr>
        <w:t xml:space="preserve"> Pare.</w:t>
      </w:r>
    </w:p>
    <w:p w14:paraId="68B0D5E4" w14:textId="77777777" w:rsidR="00873863" w:rsidRDefault="00B671FB">
      <w:pPr>
        <w:spacing w:before="240" w:after="120"/>
      </w:pPr>
      <w:r>
        <w:rPr>
          <w:rFonts w:ascii="Arial" w:eastAsia="Arial" w:hAnsi="Arial" w:cs="Arial"/>
          <w:b/>
          <w:bCs/>
          <w:sz w:val="24"/>
          <w:szCs w:val="24"/>
        </w:rPr>
        <w:t>REFERENCES</w:t>
      </w:r>
    </w:p>
    <w:p w14:paraId="630A6B23" w14:textId="77777777" w:rsidR="00873863" w:rsidRDefault="00B671FB">
      <w:pPr>
        <w:spacing w:after="120" w:line="360" w:lineRule="auto"/>
        <w:ind w:left="756" w:hanging="756"/>
        <w:jc w:val="both"/>
      </w:pPr>
      <w:r>
        <w:rPr>
          <w:rFonts w:ascii="Arial" w:eastAsia="Arial" w:hAnsi="Arial" w:cs="Arial"/>
          <w:sz w:val="24"/>
          <w:szCs w:val="24"/>
        </w:rPr>
        <w:lastRenderedPageBreak/>
        <w:t xml:space="preserve">Bandura, A. (1977). Self-efficacy: Toward a unifying theory of </w:t>
      </w:r>
      <w:proofErr w:type="spellStart"/>
      <w:r>
        <w:rPr>
          <w:rFonts w:ascii="Arial" w:eastAsia="Arial" w:hAnsi="Arial" w:cs="Arial"/>
          <w:sz w:val="24"/>
          <w:szCs w:val="24"/>
        </w:rPr>
        <w:t>behavioral</w:t>
      </w:r>
      <w:proofErr w:type="spellEnd"/>
      <w:r>
        <w:rPr>
          <w:rFonts w:ascii="Arial" w:eastAsia="Arial" w:hAnsi="Arial" w:cs="Arial"/>
          <w:sz w:val="24"/>
          <w:szCs w:val="24"/>
        </w:rPr>
        <w:t xml:space="preserve"> change. </w:t>
      </w:r>
      <w:r>
        <w:rPr>
          <w:rFonts w:ascii="Arial" w:eastAsia="Arial" w:hAnsi="Arial" w:cs="Arial"/>
          <w:i/>
          <w:iCs/>
          <w:sz w:val="24"/>
          <w:szCs w:val="24"/>
        </w:rPr>
        <w:t>Psychological Review</w:t>
      </w:r>
      <w:r>
        <w:rPr>
          <w:rFonts w:ascii="Arial" w:eastAsia="Arial" w:hAnsi="Arial" w:cs="Arial"/>
          <w:sz w:val="24"/>
          <w:szCs w:val="24"/>
        </w:rPr>
        <w:t xml:space="preserve">, </w:t>
      </w:r>
      <w:r>
        <w:rPr>
          <w:rFonts w:ascii="Arial" w:eastAsia="Arial" w:hAnsi="Arial" w:cs="Arial"/>
          <w:i/>
          <w:iCs/>
          <w:sz w:val="24"/>
          <w:szCs w:val="24"/>
        </w:rPr>
        <w:t>84</w:t>
      </w:r>
      <w:r>
        <w:rPr>
          <w:rFonts w:ascii="Arial" w:eastAsia="Arial" w:hAnsi="Arial" w:cs="Arial"/>
          <w:sz w:val="24"/>
          <w:szCs w:val="24"/>
        </w:rPr>
        <w:t>(2), 191–215. https://doi.org/10.1037/0033-295X.84.2.191</w:t>
      </w:r>
    </w:p>
    <w:p w14:paraId="21BCF95B" w14:textId="77777777" w:rsidR="00873863" w:rsidRDefault="00B671FB">
      <w:pPr>
        <w:spacing w:after="120" w:line="360" w:lineRule="auto"/>
        <w:ind w:left="756" w:hanging="756"/>
        <w:jc w:val="both"/>
      </w:pPr>
      <w:r>
        <w:rPr>
          <w:rFonts w:ascii="Arial" w:eastAsia="Arial" w:hAnsi="Arial" w:cs="Arial"/>
          <w:sz w:val="24"/>
          <w:szCs w:val="24"/>
        </w:rPr>
        <w:t xml:space="preserve">Baxter, P., &amp; Jack, S. (2008). Qualitative case study methodology: Study design and implementation for novice researchers. </w:t>
      </w:r>
      <w:r>
        <w:rPr>
          <w:rFonts w:ascii="Arial" w:eastAsia="Arial" w:hAnsi="Arial" w:cs="Arial"/>
          <w:i/>
          <w:iCs/>
          <w:sz w:val="24"/>
          <w:szCs w:val="24"/>
        </w:rPr>
        <w:t>The Qualitative Report</w:t>
      </w:r>
      <w:r>
        <w:rPr>
          <w:rFonts w:ascii="Arial" w:eastAsia="Arial" w:hAnsi="Arial" w:cs="Arial"/>
          <w:sz w:val="24"/>
          <w:szCs w:val="24"/>
        </w:rPr>
        <w:t xml:space="preserve">, </w:t>
      </w:r>
      <w:r>
        <w:rPr>
          <w:rFonts w:ascii="Arial" w:eastAsia="Arial" w:hAnsi="Arial" w:cs="Arial"/>
          <w:i/>
          <w:iCs/>
          <w:sz w:val="24"/>
          <w:szCs w:val="24"/>
        </w:rPr>
        <w:t>13</w:t>
      </w:r>
      <w:r>
        <w:rPr>
          <w:rFonts w:ascii="Arial" w:eastAsia="Arial" w:hAnsi="Arial" w:cs="Arial"/>
          <w:sz w:val="24"/>
          <w:szCs w:val="24"/>
        </w:rPr>
        <w:t>(4), 544–559. https://doi.org/10.46743/2160-3715/2008.1573</w:t>
      </w:r>
    </w:p>
    <w:p w14:paraId="69B6D127" w14:textId="77777777" w:rsidR="00873863" w:rsidRDefault="00B671FB">
      <w:pPr>
        <w:spacing w:after="120" w:line="360" w:lineRule="auto"/>
        <w:ind w:left="756" w:hanging="756"/>
        <w:jc w:val="both"/>
      </w:pPr>
      <w:r>
        <w:rPr>
          <w:rFonts w:ascii="Arial" w:eastAsia="Arial" w:hAnsi="Arial" w:cs="Arial"/>
          <w:sz w:val="24"/>
          <w:szCs w:val="24"/>
        </w:rPr>
        <w:t xml:space="preserve">Coombs, P. H., &amp; Ahmed, M. (1974). </w:t>
      </w:r>
      <w:r>
        <w:rPr>
          <w:rFonts w:ascii="Arial" w:eastAsia="Arial" w:hAnsi="Arial" w:cs="Arial"/>
          <w:i/>
          <w:iCs/>
          <w:sz w:val="24"/>
          <w:szCs w:val="24"/>
        </w:rPr>
        <w:t>Attacking rural poverty: How nonformal education can help</w:t>
      </w:r>
      <w:r>
        <w:rPr>
          <w:rFonts w:ascii="Arial" w:eastAsia="Arial" w:hAnsi="Arial" w:cs="Arial"/>
          <w:sz w:val="24"/>
          <w:szCs w:val="24"/>
        </w:rPr>
        <w:t>. Johns Hopkins University Press.</w:t>
      </w:r>
    </w:p>
    <w:p w14:paraId="2582AEBE" w14:textId="77777777" w:rsidR="00873863" w:rsidRDefault="00B671FB">
      <w:pPr>
        <w:spacing w:after="120" w:line="360" w:lineRule="auto"/>
        <w:ind w:left="756" w:hanging="756"/>
        <w:jc w:val="both"/>
      </w:pPr>
      <w:r>
        <w:rPr>
          <w:rFonts w:ascii="Arial" w:eastAsia="Arial" w:hAnsi="Arial" w:cs="Arial"/>
          <w:sz w:val="24"/>
          <w:szCs w:val="24"/>
        </w:rPr>
        <w:t xml:space="preserve">Crystal, D. (2003). </w:t>
      </w:r>
      <w:r>
        <w:rPr>
          <w:rFonts w:ascii="Arial" w:eastAsia="Arial" w:hAnsi="Arial" w:cs="Arial"/>
          <w:i/>
          <w:iCs/>
          <w:sz w:val="24"/>
          <w:szCs w:val="24"/>
        </w:rPr>
        <w:t>English as a global language</w:t>
      </w:r>
      <w:r>
        <w:rPr>
          <w:rFonts w:ascii="Arial" w:eastAsia="Arial" w:hAnsi="Arial" w:cs="Arial"/>
          <w:sz w:val="24"/>
          <w:szCs w:val="24"/>
        </w:rPr>
        <w:t xml:space="preserve"> (2nd ed.). Cambridge University Press.</w:t>
      </w:r>
    </w:p>
    <w:p w14:paraId="2176863E" w14:textId="77777777" w:rsidR="00873863" w:rsidRDefault="00B671FB">
      <w:pPr>
        <w:spacing w:after="120" w:line="360" w:lineRule="auto"/>
        <w:ind w:left="756" w:hanging="756"/>
        <w:jc w:val="both"/>
      </w:pPr>
      <w:r>
        <w:rPr>
          <w:rFonts w:ascii="Arial" w:eastAsia="Arial" w:hAnsi="Arial" w:cs="Arial"/>
          <w:sz w:val="24"/>
          <w:szCs w:val="24"/>
        </w:rPr>
        <w:t xml:space="preserve">Dörnyei, Z. (2001). </w:t>
      </w:r>
      <w:r>
        <w:rPr>
          <w:rFonts w:ascii="Arial" w:eastAsia="Arial" w:hAnsi="Arial" w:cs="Arial"/>
          <w:i/>
          <w:iCs/>
          <w:sz w:val="24"/>
          <w:szCs w:val="24"/>
        </w:rPr>
        <w:t>Motivational strategies in the language classroom</w:t>
      </w:r>
      <w:r>
        <w:rPr>
          <w:rFonts w:ascii="Arial" w:eastAsia="Arial" w:hAnsi="Arial" w:cs="Arial"/>
          <w:sz w:val="24"/>
          <w:szCs w:val="24"/>
        </w:rPr>
        <w:t>. Cambridge University Press.</w:t>
      </w:r>
    </w:p>
    <w:p w14:paraId="5B08BC7B" w14:textId="77777777" w:rsidR="00873863" w:rsidRDefault="00B671FB">
      <w:pPr>
        <w:spacing w:after="120" w:line="360" w:lineRule="auto"/>
        <w:ind w:left="756" w:hanging="756"/>
        <w:jc w:val="both"/>
      </w:pPr>
      <w:r>
        <w:rPr>
          <w:rFonts w:ascii="Arial" w:eastAsia="Arial" w:hAnsi="Arial" w:cs="Arial"/>
          <w:sz w:val="24"/>
          <w:szCs w:val="24"/>
        </w:rPr>
        <w:t xml:space="preserve">Dörnyei, Z. (2009). The L2 motivational </w:t>
      </w:r>
      <w:proofErr w:type="spellStart"/>
      <w:r>
        <w:rPr>
          <w:rFonts w:ascii="Arial" w:eastAsia="Arial" w:hAnsi="Arial" w:cs="Arial"/>
          <w:sz w:val="24"/>
          <w:szCs w:val="24"/>
        </w:rPr>
        <w:t>self system</w:t>
      </w:r>
      <w:proofErr w:type="spellEnd"/>
      <w:r>
        <w:rPr>
          <w:rFonts w:ascii="Arial" w:eastAsia="Arial" w:hAnsi="Arial" w:cs="Arial"/>
          <w:sz w:val="24"/>
          <w:szCs w:val="24"/>
        </w:rPr>
        <w:t xml:space="preserve">. In Z. Dörnyei &amp; E. Ushioda (Eds.), </w:t>
      </w:r>
      <w:r>
        <w:rPr>
          <w:rFonts w:ascii="Arial" w:eastAsia="Arial" w:hAnsi="Arial" w:cs="Arial"/>
          <w:i/>
          <w:iCs/>
          <w:sz w:val="24"/>
          <w:szCs w:val="24"/>
        </w:rPr>
        <w:t>Motivation, language identity and the L2 self</w:t>
      </w:r>
      <w:r>
        <w:rPr>
          <w:rFonts w:ascii="Arial" w:eastAsia="Arial" w:hAnsi="Arial" w:cs="Arial"/>
          <w:sz w:val="24"/>
          <w:szCs w:val="24"/>
        </w:rPr>
        <w:t xml:space="preserve"> (pp. 9–42). Multilingual Matters.</w:t>
      </w:r>
    </w:p>
    <w:p w14:paraId="7933B138" w14:textId="77777777" w:rsidR="00873863" w:rsidRDefault="00B671FB">
      <w:pPr>
        <w:spacing w:after="120" w:line="360" w:lineRule="auto"/>
        <w:ind w:left="756" w:hanging="756"/>
        <w:jc w:val="both"/>
      </w:pPr>
      <w:r>
        <w:rPr>
          <w:rFonts w:ascii="Arial" w:eastAsia="Arial" w:hAnsi="Arial" w:cs="Arial"/>
          <w:sz w:val="24"/>
          <w:szCs w:val="24"/>
        </w:rPr>
        <w:t xml:space="preserve">EF Education First. (2023). </w:t>
      </w:r>
      <w:r>
        <w:rPr>
          <w:rFonts w:ascii="Arial" w:eastAsia="Arial" w:hAnsi="Arial" w:cs="Arial"/>
          <w:i/>
          <w:iCs/>
          <w:sz w:val="24"/>
          <w:szCs w:val="24"/>
        </w:rPr>
        <w:t>EF English Proficiency Index 2023</w:t>
      </w:r>
      <w:r>
        <w:rPr>
          <w:rFonts w:ascii="Arial" w:eastAsia="Arial" w:hAnsi="Arial" w:cs="Arial"/>
          <w:sz w:val="24"/>
          <w:szCs w:val="24"/>
        </w:rPr>
        <w:t>. EF Education First Ltd. https://www.ef.com/epi</w:t>
      </w:r>
    </w:p>
    <w:p w14:paraId="4F2298D2" w14:textId="77777777" w:rsidR="00873863" w:rsidRDefault="00B671FB">
      <w:pPr>
        <w:spacing w:after="120" w:line="360" w:lineRule="auto"/>
        <w:ind w:left="756" w:hanging="756"/>
        <w:jc w:val="both"/>
      </w:pPr>
      <w:proofErr w:type="spellStart"/>
      <w:r>
        <w:rPr>
          <w:rFonts w:ascii="Arial" w:eastAsia="Arial" w:hAnsi="Arial" w:cs="Arial"/>
          <w:sz w:val="24"/>
          <w:szCs w:val="24"/>
        </w:rPr>
        <w:t>Falout</w:t>
      </w:r>
      <w:proofErr w:type="spellEnd"/>
      <w:r>
        <w:rPr>
          <w:rFonts w:ascii="Arial" w:eastAsia="Arial" w:hAnsi="Arial" w:cs="Arial"/>
          <w:sz w:val="24"/>
          <w:szCs w:val="24"/>
        </w:rPr>
        <w:t xml:space="preserve">, J., Elwood, J., &amp; Hood, M. (2009). Demotivation: Affective states and learning outcomes. </w:t>
      </w:r>
      <w:r>
        <w:rPr>
          <w:rFonts w:ascii="Arial" w:eastAsia="Arial" w:hAnsi="Arial" w:cs="Arial"/>
          <w:i/>
          <w:iCs/>
          <w:sz w:val="24"/>
          <w:szCs w:val="24"/>
        </w:rPr>
        <w:t>System</w:t>
      </w:r>
      <w:r>
        <w:rPr>
          <w:rFonts w:ascii="Arial" w:eastAsia="Arial" w:hAnsi="Arial" w:cs="Arial"/>
          <w:sz w:val="24"/>
          <w:szCs w:val="24"/>
        </w:rPr>
        <w:t xml:space="preserve">, </w:t>
      </w:r>
      <w:r>
        <w:rPr>
          <w:rFonts w:ascii="Arial" w:eastAsia="Arial" w:hAnsi="Arial" w:cs="Arial"/>
          <w:i/>
          <w:iCs/>
          <w:sz w:val="24"/>
          <w:szCs w:val="24"/>
        </w:rPr>
        <w:t>37</w:t>
      </w:r>
      <w:r>
        <w:rPr>
          <w:rFonts w:ascii="Arial" w:eastAsia="Arial" w:hAnsi="Arial" w:cs="Arial"/>
          <w:sz w:val="24"/>
          <w:szCs w:val="24"/>
        </w:rPr>
        <w:t>(3), 403–417. https://doi.org/10.1016/j.system.2009.03.004</w:t>
      </w:r>
    </w:p>
    <w:p w14:paraId="7D4D8448" w14:textId="77777777" w:rsidR="00873863" w:rsidRDefault="00B671FB">
      <w:pPr>
        <w:spacing w:after="120" w:line="360" w:lineRule="auto"/>
        <w:ind w:left="756" w:hanging="756"/>
        <w:jc w:val="both"/>
      </w:pPr>
      <w:r>
        <w:rPr>
          <w:rFonts w:ascii="Arial" w:eastAsia="Arial" w:hAnsi="Arial" w:cs="Arial"/>
          <w:sz w:val="24"/>
          <w:szCs w:val="24"/>
        </w:rPr>
        <w:t xml:space="preserve">Fusch, P., Fusch, G. E., &amp; Ness, L. R. (2018). Denzin’s paradigm shift: Revisiting triangulation in qualitative research. </w:t>
      </w:r>
      <w:r>
        <w:rPr>
          <w:rFonts w:ascii="Arial" w:eastAsia="Arial" w:hAnsi="Arial" w:cs="Arial"/>
          <w:i/>
          <w:iCs/>
          <w:sz w:val="24"/>
          <w:szCs w:val="24"/>
        </w:rPr>
        <w:t>Journal of Social Change</w:t>
      </w:r>
      <w:r>
        <w:rPr>
          <w:rFonts w:ascii="Arial" w:eastAsia="Arial" w:hAnsi="Arial" w:cs="Arial"/>
          <w:sz w:val="24"/>
          <w:szCs w:val="24"/>
        </w:rPr>
        <w:t xml:space="preserve">, </w:t>
      </w:r>
      <w:r>
        <w:rPr>
          <w:rFonts w:ascii="Arial" w:eastAsia="Arial" w:hAnsi="Arial" w:cs="Arial"/>
          <w:i/>
          <w:iCs/>
          <w:sz w:val="24"/>
          <w:szCs w:val="24"/>
        </w:rPr>
        <w:t>10</w:t>
      </w:r>
      <w:r>
        <w:rPr>
          <w:rFonts w:ascii="Arial" w:eastAsia="Arial" w:hAnsi="Arial" w:cs="Arial"/>
          <w:sz w:val="24"/>
          <w:szCs w:val="24"/>
        </w:rPr>
        <w:t>(1), 19–32. https://doi.org/10.5590/JOSC.2018.10.1.02</w:t>
      </w:r>
    </w:p>
    <w:p w14:paraId="21D8AFC0" w14:textId="77777777" w:rsidR="00873863" w:rsidRDefault="00B671FB">
      <w:pPr>
        <w:spacing w:after="120" w:line="360" w:lineRule="auto"/>
        <w:ind w:left="756" w:hanging="756"/>
        <w:jc w:val="both"/>
      </w:pPr>
      <w:r>
        <w:rPr>
          <w:rFonts w:ascii="Arial" w:eastAsia="Arial" w:hAnsi="Arial" w:cs="Arial"/>
          <w:sz w:val="24"/>
          <w:szCs w:val="24"/>
        </w:rPr>
        <w:t xml:space="preserve">Gardner, R. C., &amp; Lambert, W. E. (1972). </w:t>
      </w:r>
      <w:r>
        <w:rPr>
          <w:rFonts w:ascii="Arial" w:eastAsia="Arial" w:hAnsi="Arial" w:cs="Arial"/>
          <w:i/>
          <w:iCs/>
          <w:sz w:val="24"/>
          <w:szCs w:val="24"/>
        </w:rPr>
        <w:t>Attitudes and motivation in second language learning</w:t>
      </w:r>
      <w:r>
        <w:rPr>
          <w:rFonts w:ascii="Arial" w:eastAsia="Arial" w:hAnsi="Arial" w:cs="Arial"/>
          <w:sz w:val="24"/>
          <w:szCs w:val="24"/>
        </w:rPr>
        <w:t>. Newbury House.</w:t>
      </w:r>
    </w:p>
    <w:p w14:paraId="10DB1A51" w14:textId="77777777" w:rsidR="00873863" w:rsidRDefault="00B671FB">
      <w:pPr>
        <w:spacing w:after="120" w:line="360" w:lineRule="auto"/>
        <w:ind w:left="756" w:hanging="756"/>
        <w:jc w:val="both"/>
      </w:pPr>
      <w:proofErr w:type="spellStart"/>
      <w:r>
        <w:rPr>
          <w:rFonts w:ascii="Arial" w:eastAsia="Arial" w:hAnsi="Arial" w:cs="Arial"/>
          <w:sz w:val="24"/>
          <w:szCs w:val="24"/>
        </w:rPr>
        <w:t>Graddol</w:t>
      </w:r>
      <w:proofErr w:type="spellEnd"/>
      <w:r>
        <w:rPr>
          <w:rFonts w:ascii="Arial" w:eastAsia="Arial" w:hAnsi="Arial" w:cs="Arial"/>
          <w:sz w:val="24"/>
          <w:szCs w:val="24"/>
        </w:rPr>
        <w:t xml:space="preserve">, D. (2006). </w:t>
      </w:r>
      <w:r>
        <w:rPr>
          <w:rFonts w:ascii="Arial" w:eastAsia="Arial" w:hAnsi="Arial" w:cs="Arial"/>
          <w:i/>
          <w:iCs/>
          <w:sz w:val="24"/>
          <w:szCs w:val="24"/>
        </w:rPr>
        <w:t>English next</w:t>
      </w:r>
      <w:r>
        <w:rPr>
          <w:rFonts w:ascii="Arial" w:eastAsia="Arial" w:hAnsi="Arial" w:cs="Arial"/>
          <w:sz w:val="24"/>
          <w:szCs w:val="24"/>
        </w:rPr>
        <w:t>. British Council. https://www.teachingenglish.org.uk/sites/teacheng/files/pub_english_next.pdf</w:t>
      </w:r>
    </w:p>
    <w:p w14:paraId="408D466E" w14:textId="77777777" w:rsidR="00873863" w:rsidRDefault="00B671FB">
      <w:pPr>
        <w:spacing w:after="120" w:line="360" w:lineRule="auto"/>
        <w:ind w:left="756" w:hanging="756"/>
        <w:jc w:val="both"/>
      </w:pPr>
      <w:proofErr w:type="spellStart"/>
      <w:r>
        <w:rPr>
          <w:rFonts w:ascii="Arial" w:eastAsia="Arial" w:hAnsi="Arial" w:cs="Arial"/>
          <w:sz w:val="24"/>
          <w:szCs w:val="24"/>
        </w:rPr>
        <w:t>Guilloteaux</w:t>
      </w:r>
      <w:proofErr w:type="spellEnd"/>
      <w:r>
        <w:rPr>
          <w:rFonts w:ascii="Arial" w:eastAsia="Arial" w:hAnsi="Arial" w:cs="Arial"/>
          <w:sz w:val="24"/>
          <w:szCs w:val="24"/>
        </w:rPr>
        <w:t xml:space="preserve">, M. J., &amp; Dörnyei, Z. (2008). Motivating language learners: A classroom-oriented investigation of the effects of motivational strategies on student motivation. </w:t>
      </w:r>
      <w:r>
        <w:rPr>
          <w:rFonts w:ascii="Arial" w:eastAsia="Arial" w:hAnsi="Arial" w:cs="Arial"/>
          <w:i/>
          <w:iCs/>
          <w:sz w:val="24"/>
          <w:szCs w:val="24"/>
        </w:rPr>
        <w:t>TESOL Quarterly</w:t>
      </w:r>
      <w:r>
        <w:rPr>
          <w:rFonts w:ascii="Arial" w:eastAsia="Arial" w:hAnsi="Arial" w:cs="Arial"/>
          <w:sz w:val="24"/>
          <w:szCs w:val="24"/>
        </w:rPr>
        <w:t xml:space="preserve">, </w:t>
      </w:r>
      <w:r>
        <w:rPr>
          <w:rFonts w:ascii="Arial" w:eastAsia="Arial" w:hAnsi="Arial" w:cs="Arial"/>
          <w:i/>
          <w:iCs/>
          <w:sz w:val="24"/>
          <w:szCs w:val="24"/>
        </w:rPr>
        <w:t>42</w:t>
      </w:r>
      <w:r>
        <w:rPr>
          <w:rFonts w:ascii="Arial" w:eastAsia="Arial" w:hAnsi="Arial" w:cs="Arial"/>
          <w:sz w:val="24"/>
          <w:szCs w:val="24"/>
        </w:rPr>
        <w:t>(1), 55–77. https://doi.org/10.1002/j.1545-7249.2008.tb00207.x</w:t>
      </w:r>
    </w:p>
    <w:p w14:paraId="06D3BBDD" w14:textId="77777777" w:rsidR="00873863" w:rsidRDefault="00B671FB">
      <w:pPr>
        <w:spacing w:after="120" w:line="360" w:lineRule="auto"/>
        <w:ind w:left="756" w:hanging="756"/>
        <w:jc w:val="both"/>
      </w:pPr>
      <w:r>
        <w:rPr>
          <w:rFonts w:ascii="Arial" w:eastAsia="Arial" w:hAnsi="Arial" w:cs="Arial"/>
          <w:sz w:val="24"/>
          <w:szCs w:val="24"/>
        </w:rPr>
        <w:lastRenderedPageBreak/>
        <w:t xml:space="preserve">Lamb, M. (2007). The impact of school on EFL learning motivation: An Indonesian case study. </w:t>
      </w:r>
      <w:r>
        <w:rPr>
          <w:rFonts w:ascii="Arial" w:eastAsia="Arial" w:hAnsi="Arial" w:cs="Arial"/>
          <w:i/>
          <w:iCs/>
          <w:sz w:val="24"/>
          <w:szCs w:val="24"/>
        </w:rPr>
        <w:t>TESOL Quarterly</w:t>
      </w:r>
      <w:r>
        <w:rPr>
          <w:rFonts w:ascii="Arial" w:eastAsia="Arial" w:hAnsi="Arial" w:cs="Arial"/>
          <w:sz w:val="24"/>
          <w:szCs w:val="24"/>
        </w:rPr>
        <w:t xml:space="preserve">, </w:t>
      </w:r>
      <w:r>
        <w:rPr>
          <w:rFonts w:ascii="Arial" w:eastAsia="Arial" w:hAnsi="Arial" w:cs="Arial"/>
          <w:i/>
          <w:iCs/>
          <w:sz w:val="24"/>
          <w:szCs w:val="24"/>
        </w:rPr>
        <w:t>41</w:t>
      </w:r>
      <w:r>
        <w:rPr>
          <w:rFonts w:ascii="Arial" w:eastAsia="Arial" w:hAnsi="Arial" w:cs="Arial"/>
          <w:sz w:val="24"/>
          <w:szCs w:val="24"/>
        </w:rPr>
        <w:t>(4), 757–780. https://doi.org/10.1002/j.1545-7249.2007.tb00102.x</w:t>
      </w:r>
    </w:p>
    <w:p w14:paraId="03DAAEDB" w14:textId="77777777" w:rsidR="00873863" w:rsidRDefault="00B671FB">
      <w:pPr>
        <w:spacing w:after="120" w:line="360" w:lineRule="auto"/>
        <w:ind w:left="756" w:hanging="756"/>
        <w:jc w:val="both"/>
      </w:pPr>
      <w:proofErr w:type="spellStart"/>
      <w:r>
        <w:rPr>
          <w:rFonts w:ascii="Arial" w:eastAsia="Arial" w:hAnsi="Arial" w:cs="Arial"/>
          <w:sz w:val="24"/>
          <w:szCs w:val="24"/>
        </w:rPr>
        <w:t>Mohajan</w:t>
      </w:r>
      <w:proofErr w:type="spellEnd"/>
      <w:r>
        <w:rPr>
          <w:rFonts w:ascii="Arial" w:eastAsia="Arial" w:hAnsi="Arial" w:cs="Arial"/>
          <w:sz w:val="24"/>
          <w:szCs w:val="24"/>
        </w:rPr>
        <w:t xml:space="preserve">, H. K. (2018). Qualitative research methodology in social sciences and related subjects. </w:t>
      </w:r>
      <w:r>
        <w:rPr>
          <w:rFonts w:ascii="Arial" w:eastAsia="Arial" w:hAnsi="Arial" w:cs="Arial"/>
          <w:i/>
          <w:iCs/>
          <w:sz w:val="24"/>
          <w:szCs w:val="24"/>
        </w:rPr>
        <w:t>Journal of Economic Development, Environment and People</w:t>
      </w:r>
      <w:r>
        <w:rPr>
          <w:rFonts w:ascii="Arial" w:eastAsia="Arial" w:hAnsi="Arial" w:cs="Arial"/>
          <w:sz w:val="24"/>
          <w:szCs w:val="24"/>
        </w:rPr>
        <w:t xml:space="preserve">, </w:t>
      </w:r>
      <w:r>
        <w:rPr>
          <w:rFonts w:ascii="Arial" w:eastAsia="Arial" w:hAnsi="Arial" w:cs="Arial"/>
          <w:i/>
          <w:iCs/>
          <w:sz w:val="24"/>
          <w:szCs w:val="24"/>
        </w:rPr>
        <w:t>7</w:t>
      </w:r>
      <w:r>
        <w:rPr>
          <w:rFonts w:ascii="Arial" w:eastAsia="Arial" w:hAnsi="Arial" w:cs="Arial"/>
          <w:sz w:val="24"/>
          <w:szCs w:val="24"/>
        </w:rPr>
        <w:t>(1), 23–48. https://doi.org/10.26458/jedep.v7i1.571</w:t>
      </w:r>
    </w:p>
    <w:p w14:paraId="7772C96B" w14:textId="77777777" w:rsidR="00873863" w:rsidRDefault="00B671FB">
      <w:pPr>
        <w:spacing w:after="120" w:line="360" w:lineRule="auto"/>
        <w:ind w:left="756" w:hanging="756"/>
        <w:jc w:val="both"/>
      </w:pPr>
      <w:r>
        <w:rPr>
          <w:rFonts w:ascii="Arial" w:eastAsia="Arial" w:hAnsi="Arial" w:cs="Arial"/>
          <w:sz w:val="24"/>
          <w:szCs w:val="24"/>
        </w:rPr>
        <w:t xml:space="preserve">Muslim, A. B., Hamied, F. A., &amp; </w:t>
      </w:r>
      <w:proofErr w:type="spellStart"/>
      <w:r>
        <w:rPr>
          <w:rFonts w:ascii="Arial" w:eastAsia="Arial" w:hAnsi="Arial" w:cs="Arial"/>
          <w:sz w:val="24"/>
          <w:szCs w:val="24"/>
        </w:rPr>
        <w:t>Sukyadi</w:t>
      </w:r>
      <w:proofErr w:type="spellEnd"/>
      <w:r>
        <w:rPr>
          <w:rFonts w:ascii="Arial" w:eastAsia="Arial" w:hAnsi="Arial" w:cs="Arial"/>
          <w:sz w:val="24"/>
          <w:szCs w:val="24"/>
        </w:rPr>
        <w:t xml:space="preserve">, D. (2020). Integrative and instrumental but low investment: The English learning motivation of Indonesian senior secondary school students. </w:t>
      </w:r>
      <w:r>
        <w:rPr>
          <w:rFonts w:ascii="Arial" w:eastAsia="Arial" w:hAnsi="Arial" w:cs="Arial"/>
          <w:i/>
          <w:iCs/>
          <w:sz w:val="24"/>
          <w:szCs w:val="24"/>
        </w:rPr>
        <w:t>Indonesian Journal of Applied Linguistics</w:t>
      </w:r>
      <w:r>
        <w:rPr>
          <w:rFonts w:ascii="Arial" w:eastAsia="Arial" w:hAnsi="Arial" w:cs="Arial"/>
          <w:sz w:val="24"/>
          <w:szCs w:val="24"/>
        </w:rPr>
        <w:t xml:space="preserve">, </w:t>
      </w:r>
      <w:r>
        <w:rPr>
          <w:rFonts w:ascii="Arial" w:eastAsia="Arial" w:hAnsi="Arial" w:cs="Arial"/>
          <w:i/>
          <w:iCs/>
          <w:sz w:val="24"/>
          <w:szCs w:val="24"/>
        </w:rPr>
        <w:t>9</w:t>
      </w:r>
      <w:r>
        <w:rPr>
          <w:rFonts w:ascii="Arial" w:eastAsia="Arial" w:hAnsi="Arial" w:cs="Arial"/>
          <w:sz w:val="24"/>
          <w:szCs w:val="24"/>
        </w:rPr>
        <w:t>(3), 643–657. https://doi.org/10.17509/ijal.v9i3.23224</w:t>
      </w:r>
    </w:p>
    <w:p w14:paraId="09A6011D" w14:textId="77777777" w:rsidR="00873863" w:rsidRDefault="00B671FB">
      <w:pPr>
        <w:spacing w:after="120" w:line="360" w:lineRule="auto"/>
        <w:ind w:left="756" w:hanging="756"/>
        <w:jc w:val="both"/>
      </w:pPr>
      <w:r>
        <w:rPr>
          <w:rFonts w:ascii="Arial" w:eastAsia="Arial" w:hAnsi="Arial" w:cs="Arial"/>
          <w:sz w:val="24"/>
          <w:szCs w:val="24"/>
        </w:rPr>
        <w:t xml:space="preserve">Noels, K. A., Pelletier, L. G., Clément, R., &amp; Vallerand, R. J. (2000). Why are you learning a second language? Motivational orientations and self-determination theory. </w:t>
      </w:r>
      <w:r>
        <w:rPr>
          <w:rFonts w:ascii="Arial" w:eastAsia="Arial" w:hAnsi="Arial" w:cs="Arial"/>
          <w:i/>
          <w:iCs/>
          <w:sz w:val="24"/>
          <w:szCs w:val="24"/>
        </w:rPr>
        <w:t>Language Learning</w:t>
      </w:r>
      <w:r>
        <w:rPr>
          <w:rFonts w:ascii="Arial" w:eastAsia="Arial" w:hAnsi="Arial" w:cs="Arial"/>
          <w:sz w:val="24"/>
          <w:szCs w:val="24"/>
        </w:rPr>
        <w:t xml:space="preserve">, </w:t>
      </w:r>
      <w:r>
        <w:rPr>
          <w:rFonts w:ascii="Arial" w:eastAsia="Arial" w:hAnsi="Arial" w:cs="Arial"/>
          <w:i/>
          <w:iCs/>
          <w:sz w:val="24"/>
          <w:szCs w:val="24"/>
        </w:rPr>
        <w:t>50</w:t>
      </w:r>
      <w:r>
        <w:rPr>
          <w:rFonts w:ascii="Arial" w:eastAsia="Arial" w:hAnsi="Arial" w:cs="Arial"/>
          <w:sz w:val="24"/>
          <w:szCs w:val="24"/>
        </w:rPr>
        <w:t>(1), 57–85. https://doi.org/10.1111/0023-8333.00111</w:t>
      </w:r>
    </w:p>
    <w:p w14:paraId="40857719" w14:textId="77777777" w:rsidR="00873863" w:rsidRDefault="00B671FB">
      <w:pPr>
        <w:spacing w:after="120" w:line="360" w:lineRule="auto"/>
        <w:ind w:left="756" w:hanging="756"/>
        <w:jc w:val="both"/>
      </w:pPr>
      <w:r>
        <w:rPr>
          <w:rFonts w:ascii="Arial" w:eastAsia="Arial" w:hAnsi="Arial" w:cs="Arial"/>
          <w:sz w:val="24"/>
          <w:szCs w:val="24"/>
        </w:rPr>
        <w:t xml:space="preserve">Nowell, L. S., Norris, J. M., White, D. E., &amp; Moules, N. J. (2017). Thematic analysis: Striving to meet the trustworthiness criteria. </w:t>
      </w:r>
      <w:r>
        <w:rPr>
          <w:rFonts w:ascii="Arial" w:eastAsia="Arial" w:hAnsi="Arial" w:cs="Arial"/>
          <w:i/>
          <w:iCs/>
          <w:sz w:val="24"/>
          <w:szCs w:val="24"/>
        </w:rPr>
        <w:t>International Journal of Qualitative Methods</w:t>
      </w:r>
      <w:r>
        <w:rPr>
          <w:rFonts w:ascii="Arial" w:eastAsia="Arial" w:hAnsi="Arial" w:cs="Arial"/>
          <w:sz w:val="24"/>
          <w:szCs w:val="24"/>
        </w:rPr>
        <w:t xml:space="preserve">, </w:t>
      </w:r>
      <w:r>
        <w:rPr>
          <w:rFonts w:ascii="Arial" w:eastAsia="Arial" w:hAnsi="Arial" w:cs="Arial"/>
          <w:i/>
          <w:iCs/>
          <w:sz w:val="24"/>
          <w:szCs w:val="24"/>
        </w:rPr>
        <w:t>16</w:t>
      </w:r>
      <w:r>
        <w:rPr>
          <w:rFonts w:ascii="Arial" w:eastAsia="Arial" w:hAnsi="Arial" w:cs="Arial"/>
          <w:sz w:val="24"/>
          <w:szCs w:val="24"/>
        </w:rPr>
        <w:t>(1), 1–13. https://doi.org/10.1177/1609406917733847</w:t>
      </w:r>
    </w:p>
    <w:p w14:paraId="5B36D172" w14:textId="77777777" w:rsidR="00873863" w:rsidRDefault="00B671FB">
      <w:pPr>
        <w:spacing w:after="120" w:line="360" w:lineRule="auto"/>
        <w:ind w:left="756" w:hanging="756"/>
        <w:jc w:val="both"/>
      </w:pPr>
      <w:r>
        <w:rPr>
          <w:rFonts w:ascii="Arial" w:eastAsia="Arial" w:hAnsi="Arial" w:cs="Arial"/>
          <w:sz w:val="24"/>
          <w:szCs w:val="24"/>
        </w:rPr>
        <w:t xml:space="preserve">Pratiwi, N. K. A., </w:t>
      </w:r>
      <w:proofErr w:type="spellStart"/>
      <w:r>
        <w:rPr>
          <w:rFonts w:ascii="Arial" w:eastAsia="Arial" w:hAnsi="Arial" w:cs="Arial"/>
          <w:sz w:val="24"/>
          <w:szCs w:val="24"/>
        </w:rPr>
        <w:t>Atmowardoyo</w:t>
      </w:r>
      <w:proofErr w:type="spellEnd"/>
      <w:r>
        <w:rPr>
          <w:rFonts w:ascii="Arial" w:eastAsia="Arial" w:hAnsi="Arial" w:cs="Arial"/>
          <w:sz w:val="24"/>
          <w:szCs w:val="24"/>
        </w:rPr>
        <w:t xml:space="preserve">, H., &amp; Salija, K. (2020). Needs analysis of English learning program at Kampung </w:t>
      </w:r>
      <w:proofErr w:type="spellStart"/>
      <w:r>
        <w:rPr>
          <w:rFonts w:ascii="Arial" w:eastAsia="Arial" w:hAnsi="Arial" w:cs="Arial"/>
          <w:sz w:val="24"/>
          <w:szCs w:val="24"/>
        </w:rPr>
        <w:t>Inggris</w:t>
      </w:r>
      <w:proofErr w:type="spellEnd"/>
      <w:r>
        <w:rPr>
          <w:rFonts w:ascii="Arial" w:eastAsia="Arial" w:hAnsi="Arial" w:cs="Arial"/>
          <w:sz w:val="24"/>
          <w:szCs w:val="24"/>
        </w:rPr>
        <w:t xml:space="preserve"> Pare. </w:t>
      </w:r>
      <w:proofErr w:type="spellStart"/>
      <w:r>
        <w:rPr>
          <w:rFonts w:ascii="Arial" w:eastAsia="Arial" w:hAnsi="Arial" w:cs="Arial"/>
          <w:i/>
          <w:iCs/>
          <w:sz w:val="24"/>
          <w:szCs w:val="24"/>
        </w:rPr>
        <w:t>Jurnal</w:t>
      </w:r>
      <w:proofErr w:type="spellEnd"/>
      <w:r>
        <w:rPr>
          <w:rFonts w:ascii="Arial" w:eastAsia="Arial" w:hAnsi="Arial" w:cs="Arial"/>
          <w:i/>
          <w:iCs/>
          <w:sz w:val="24"/>
          <w:szCs w:val="24"/>
        </w:rPr>
        <w:t xml:space="preserve"> </w:t>
      </w:r>
      <w:proofErr w:type="spellStart"/>
      <w:r>
        <w:rPr>
          <w:rFonts w:ascii="Arial" w:eastAsia="Arial" w:hAnsi="Arial" w:cs="Arial"/>
          <w:i/>
          <w:iCs/>
          <w:sz w:val="24"/>
          <w:szCs w:val="24"/>
        </w:rPr>
        <w:t>Ilmu</w:t>
      </w:r>
      <w:proofErr w:type="spellEnd"/>
      <w:r>
        <w:rPr>
          <w:rFonts w:ascii="Arial" w:eastAsia="Arial" w:hAnsi="Arial" w:cs="Arial"/>
          <w:i/>
          <w:iCs/>
          <w:sz w:val="24"/>
          <w:szCs w:val="24"/>
        </w:rPr>
        <w:t xml:space="preserve"> Budaya</w:t>
      </w:r>
      <w:r>
        <w:rPr>
          <w:rFonts w:ascii="Arial" w:eastAsia="Arial" w:hAnsi="Arial" w:cs="Arial"/>
          <w:sz w:val="24"/>
          <w:szCs w:val="24"/>
        </w:rPr>
        <w:t xml:space="preserve">, </w:t>
      </w:r>
      <w:r>
        <w:rPr>
          <w:rFonts w:ascii="Arial" w:eastAsia="Arial" w:hAnsi="Arial" w:cs="Arial"/>
          <w:i/>
          <w:iCs/>
          <w:sz w:val="24"/>
          <w:szCs w:val="24"/>
        </w:rPr>
        <w:t>8</w:t>
      </w:r>
      <w:r>
        <w:rPr>
          <w:rFonts w:ascii="Arial" w:eastAsia="Arial" w:hAnsi="Arial" w:cs="Arial"/>
          <w:sz w:val="24"/>
          <w:szCs w:val="24"/>
        </w:rPr>
        <w:t>(1), 154–163.</w:t>
      </w:r>
    </w:p>
    <w:p w14:paraId="610DFAAC" w14:textId="77777777" w:rsidR="00873863" w:rsidRDefault="00B671FB">
      <w:pPr>
        <w:spacing w:after="120" w:line="360" w:lineRule="auto"/>
        <w:ind w:left="756" w:hanging="756"/>
        <w:jc w:val="both"/>
      </w:pPr>
      <w:r>
        <w:rPr>
          <w:rFonts w:ascii="Arial" w:eastAsia="Arial" w:hAnsi="Arial" w:cs="Arial"/>
          <w:sz w:val="24"/>
          <w:szCs w:val="24"/>
        </w:rPr>
        <w:t xml:space="preserve">Ryan, R. M., &amp; Deci, E. L. (2000). Self-determination theory and the facilitation of intrinsic motivation, social development, and well-being. </w:t>
      </w:r>
      <w:r>
        <w:rPr>
          <w:rFonts w:ascii="Arial" w:eastAsia="Arial" w:hAnsi="Arial" w:cs="Arial"/>
          <w:i/>
          <w:iCs/>
          <w:sz w:val="24"/>
          <w:szCs w:val="24"/>
        </w:rPr>
        <w:t>American Psychologist</w:t>
      </w:r>
      <w:r>
        <w:rPr>
          <w:rFonts w:ascii="Arial" w:eastAsia="Arial" w:hAnsi="Arial" w:cs="Arial"/>
          <w:sz w:val="24"/>
          <w:szCs w:val="24"/>
        </w:rPr>
        <w:t xml:space="preserve">, </w:t>
      </w:r>
      <w:r>
        <w:rPr>
          <w:rFonts w:ascii="Arial" w:eastAsia="Arial" w:hAnsi="Arial" w:cs="Arial"/>
          <w:i/>
          <w:iCs/>
          <w:sz w:val="24"/>
          <w:szCs w:val="24"/>
        </w:rPr>
        <w:t>55</w:t>
      </w:r>
      <w:r>
        <w:rPr>
          <w:rFonts w:ascii="Arial" w:eastAsia="Arial" w:hAnsi="Arial" w:cs="Arial"/>
          <w:sz w:val="24"/>
          <w:szCs w:val="24"/>
        </w:rPr>
        <w:t>(1), 68–78. https://doi.org/10.1037/0003-066X.55.1.68</w:t>
      </w:r>
    </w:p>
    <w:p w14:paraId="705686C7" w14:textId="77777777" w:rsidR="00873863" w:rsidRDefault="00B671FB">
      <w:pPr>
        <w:spacing w:after="120" w:line="360" w:lineRule="auto"/>
        <w:ind w:left="756" w:hanging="756"/>
        <w:jc w:val="both"/>
      </w:pPr>
      <w:r>
        <w:rPr>
          <w:rFonts w:ascii="Arial" w:eastAsia="Arial" w:hAnsi="Arial" w:cs="Arial"/>
          <w:sz w:val="24"/>
          <w:szCs w:val="24"/>
        </w:rPr>
        <w:t xml:space="preserve">Yazan, B. (2015). Three approaches to case study methods in education: Yin, Merriam, and Stake. </w:t>
      </w:r>
      <w:r>
        <w:rPr>
          <w:rFonts w:ascii="Arial" w:eastAsia="Arial" w:hAnsi="Arial" w:cs="Arial"/>
          <w:i/>
          <w:iCs/>
          <w:sz w:val="24"/>
          <w:szCs w:val="24"/>
        </w:rPr>
        <w:t>The Qualitative Report</w:t>
      </w:r>
      <w:r>
        <w:rPr>
          <w:rFonts w:ascii="Arial" w:eastAsia="Arial" w:hAnsi="Arial" w:cs="Arial"/>
          <w:sz w:val="24"/>
          <w:szCs w:val="24"/>
        </w:rPr>
        <w:t xml:space="preserve">, </w:t>
      </w:r>
      <w:r>
        <w:rPr>
          <w:rFonts w:ascii="Arial" w:eastAsia="Arial" w:hAnsi="Arial" w:cs="Arial"/>
          <w:i/>
          <w:iCs/>
          <w:sz w:val="24"/>
          <w:szCs w:val="24"/>
        </w:rPr>
        <w:t>20</w:t>
      </w:r>
      <w:r>
        <w:rPr>
          <w:rFonts w:ascii="Arial" w:eastAsia="Arial" w:hAnsi="Arial" w:cs="Arial"/>
          <w:sz w:val="24"/>
          <w:szCs w:val="24"/>
        </w:rPr>
        <w:t>(2), 134–152. https://doi.org/10.46743/2160-3715/2015.2102</w:t>
      </w:r>
    </w:p>
    <w:p w14:paraId="427D6885" w14:textId="77777777" w:rsidR="00873863" w:rsidRDefault="00B671FB">
      <w:pPr>
        <w:spacing w:before="320" w:after="80"/>
        <w:jc w:val="center"/>
      </w:pPr>
      <w:r>
        <w:rPr>
          <w:rFonts w:ascii="Arial" w:eastAsia="Arial" w:hAnsi="Arial" w:cs="Arial"/>
          <w:b/>
          <w:bCs/>
          <w:sz w:val="18"/>
          <w:szCs w:val="18"/>
        </w:rPr>
        <w:t>3rd INTERNATIONAL CONFERENCE ON ENGLISH LANGUAGE EDUCATION FOR UNDERGRADUATE STUDENTS</w:t>
      </w:r>
    </w:p>
    <w:p w14:paraId="601F8344" w14:textId="77777777" w:rsidR="00873863" w:rsidRDefault="00B671FB">
      <w:pPr>
        <w:jc w:val="center"/>
      </w:pPr>
      <w:r>
        <w:rPr>
          <w:rFonts w:ascii="Arial" w:eastAsia="Arial" w:hAnsi="Arial" w:cs="Arial"/>
          <w:i/>
          <w:iCs/>
          <w:sz w:val="18"/>
          <w:szCs w:val="18"/>
        </w:rPr>
        <w:t>Organised by the English Education Department, Faculty of Teacher Training and Education, Universitas Islam Kadiri © 2026</w:t>
      </w:r>
    </w:p>
    <w:sectPr w:rsidR="00873863" w:rsidSect="00A861FC">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8" w:footer="708" w:gutter="0"/>
      <w:pgNumType w:start="3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1677E" w14:textId="77777777" w:rsidR="001D009C" w:rsidRDefault="001D009C">
      <w:r>
        <w:separator/>
      </w:r>
    </w:p>
  </w:endnote>
  <w:endnote w:type="continuationSeparator" w:id="0">
    <w:p w14:paraId="584AF614" w14:textId="77777777" w:rsidR="001D009C" w:rsidRDefault="001D0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9681B" w14:textId="77777777" w:rsidR="00A861FC" w:rsidRDefault="00A861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29D33" w14:textId="77777777" w:rsidR="00A861FC" w:rsidRDefault="00A861FC" w:rsidP="00A861FC">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70F58FE8" w14:textId="77777777" w:rsidR="00A861FC" w:rsidRDefault="00A861FC" w:rsidP="00A861FC">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179EA414" w14:textId="77777777" w:rsidR="00A861FC" w:rsidRDefault="00A861FC" w:rsidP="00A861FC">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2026</w:t>
    </w:r>
  </w:p>
  <w:p w14:paraId="5F2BA5E0" w14:textId="667185E8" w:rsidR="00A861FC" w:rsidRPr="00A861FC" w:rsidRDefault="00A861FC" w:rsidP="00A861FC">
    <w:pPr>
      <w:pStyle w:val="Footer"/>
      <w:jc w:val="center"/>
      <w:rPr>
        <w:rFonts w:ascii="Arial" w:hAnsi="Arial" w:cs="Arial"/>
        <w:sz w:val="24"/>
        <w:szCs w:val="24"/>
      </w:rPr>
    </w:pPr>
    <w:r w:rsidRPr="00A861FC">
      <w:rPr>
        <w:rFonts w:ascii="Arial" w:hAnsi="Arial" w:cs="Arial"/>
        <w:sz w:val="24"/>
        <w:szCs w:val="24"/>
      </w:rPr>
      <w:fldChar w:fldCharType="begin"/>
    </w:r>
    <w:r w:rsidRPr="00A861FC">
      <w:rPr>
        <w:rFonts w:ascii="Arial" w:hAnsi="Arial" w:cs="Arial"/>
        <w:sz w:val="24"/>
        <w:szCs w:val="24"/>
      </w:rPr>
      <w:instrText xml:space="preserve"> PAGE   \* MERGEFORMAT </w:instrText>
    </w:r>
    <w:r w:rsidRPr="00A861FC">
      <w:rPr>
        <w:rFonts w:ascii="Arial" w:hAnsi="Arial" w:cs="Arial"/>
        <w:sz w:val="24"/>
        <w:szCs w:val="24"/>
      </w:rPr>
      <w:fldChar w:fldCharType="separate"/>
    </w:r>
    <w:r w:rsidRPr="00A861FC">
      <w:rPr>
        <w:rFonts w:ascii="Arial" w:hAnsi="Arial" w:cs="Arial"/>
        <w:noProof/>
        <w:sz w:val="24"/>
        <w:szCs w:val="24"/>
      </w:rPr>
      <w:t>1</w:t>
    </w:r>
    <w:r w:rsidRPr="00A861FC">
      <w:rPr>
        <w:rFonts w:ascii="Arial" w:hAnsi="Arial" w:cs="Arial"/>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F4339" w14:textId="77777777" w:rsidR="00A861FC" w:rsidRDefault="00A861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BD0D5" w14:textId="77777777" w:rsidR="001D009C" w:rsidRDefault="001D009C">
      <w:r>
        <w:separator/>
      </w:r>
    </w:p>
  </w:footnote>
  <w:footnote w:type="continuationSeparator" w:id="0">
    <w:p w14:paraId="32C768EE" w14:textId="77777777" w:rsidR="001D009C" w:rsidRDefault="001D00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01EC2" w14:textId="77777777" w:rsidR="00A861FC" w:rsidRDefault="00A861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7B968" w14:textId="77777777" w:rsidR="00A861FC" w:rsidRDefault="00A861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225AA" w14:textId="77777777" w:rsidR="00A861FC" w:rsidRDefault="00A861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5A78AB"/>
    <w:multiLevelType w:val="hybridMultilevel"/>
    <w:tmpl w:val="10644F10"/>
    <w:lvl w:ilvl="0" w:tplc="6A14EE1C">
      <w:start w:val="1"/>
      <w:numFmt w:val="bullet"/>
      <w:lvlText w:val="●"/>
      <w:lvlJc w:val="left"/>
      <w:pPr>
        <w:ind w:left="720" w:hanging="360"/>
      </w:pPr>
    </w:lvl>
    <w:lvl w:ilvl="1" w:tplc="624467F0">
      <w:start w:val="1"/>
      <w:numFmt w:val="bullet"/>
      <w:lvlText w:val="○"/>
      <w:lvlJc w:val="left"/>
      <w:pPr>
        <w:ind w:left="1440" w:hanging="360"/>
      </w:pPr>
    </w:lvl>
    <w:lvl w:ilvl="2" w:tplc="E33AD610">
      <w:start w:val="1"/>
      <w:numFmt w:val="bullet"/>
      <w:lvlText w:val="■"/>
      <w:lvlJc w:val="left"/>
      <w:pPr>
        <w:ind w:left="2160" w:hanging="360"/>
      </w:pPr>
    </w:lvl>
    <w:lvl w:ilvl="3" w:tplc="BD285134">
      <w:start w:val="1"/>
      <w:numFmt w:val="bullet"/>
      <w:lvlText w:val="●"/>
      <w:lvlJc w:val="left"/>
      <w:pPr>
        <w:ind w:left="2880" w:hanging="360"/>
      </w:pPr>
    </w:lvl>
    <w:lvl w:ilvl="4" w:tplc="901C2740">
      <w:start w:val="1"/>
      <w:numFmt w:val="bullet"/>
      <w:lvlText w:val="○"/>
      <w:lvlJc w:val="left"/>
      <w:pPr>
        <w:ind w:left="3600" w:hanging="360"/>
      </w:pPr>
    </w:lvl>
    <w:lvl w:ilvl="5" w:tplc="2410F258">
      <w:start w:val="1"/>
      <w:numFmt w:val="bullet"/>
      <w:lvlText w:val="■"/>
      <w:lvlJc w:val="left"/>
      <w:pPr>
        <w:ind w:left="4320" w:hanging="360"/>
      </w:pPr>
    </w:lvl>
    <w:lvl w:ilvl="6" w:tplc="DA208992">
      <w:start w:val="1"/>
      <w:numFmt w:val="bullet"/>
      <w:lvlText w:val="●"/>
      <w:lvlJc w:val="left"/>
      <w:pPr>
        <w:ind w:left="5040" w:hanging="360"/>
      </w:pPr>
    </w:lvl>
    <w:lvl w:ilvl="7" w:tplc="285C93F2">
      <w:start w:val="1"/>
      <w:numFmt w:val="bullet"/>
      <w:lvlText w:val="●"/>
      <w:lvlJc w:val="left"/>
      <w:pPr>
        <w:ind w:left="5760" w:hanging="360"/>
      </w:pPr>
    </w:lvl>
    <w:lvl w:ilvl="8" w:tplc="55DA2442">
      <w:start w:val="1"/>
      <w:numFmt w:val="bullet"/>
      <w:lvlText w:val="●"/>
      <w:lvlJc w:val="left"/>
      <w:pPr>
        <w:ind w:left="6480" w:hanging="360"/>
      </w:pPr>
    </w:lvl>
  </w:abstractNum>
  <w:num w:numId="1" w16cid:durableId="20089448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863"/>
    <w:rsid w:val="001233E8"/>
    <w:rsid w:val="001B3A88"/>
    <w:rsid w:val="001D009C"/>
    <w:rsid w:val="003438F9"/>
    <w:rsid w:val="004B4B5C"/>
    <w:rsid w:val="004C46DA"/>
    <w:rsid w:val="006351DF"/>
    <w:rsid w:val="00873863"/>
    <w:rsid w:val="00A861FC"/>
    <w:rsid w:val="00AD5816"/>
    <w:rsid w:val="00B671F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F8A3F"/>
  <w15:docId w15:val="{73DFD7F6-584C-4D5B-9DA7-5899BF5FB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Kuat1">
    <w:name w:val="Kuat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4C46DA"/>
    <w:rPr>
      <w:color w:val="605E5C"/>
      <w:shd w:val="clear" w:color="auto" w:fill="E1DFDD"/>
    </w:rPr>
  </w:style>
  <w:style w:type="paragraph" w:styleId="Header">
    <w:name w:val="header"/>
    <w:basedOn w:val="Normal"/>
    <w:link w:val="HeaderChar"/>
    <w:uiPriority w:val="99"/>
    <w:unhideWhenUsed/>
    <w:rsid w:val="00A861FC"/>
    <w:pPr>
      <w:tabs>
        <w:tab w:val="center" w:pos="4513"/>
        <w:tab w:val="right" w:pos="9026"/>
      </w:tabs>
    </w:pPr>
  </w:style>
  <w:style w:type="character" w:customStyle="1" w:styleId="HeaderChar">
    <w:name w:val="Header Char"/>
    <w:basedOn w:val="DefaultParagraphFont"/>
    <w:link w:val="Header"/>
    <w:uiPriority w:val="99"/>
    <w:rsid w:val="00A861FC"/>
  </w:style>
  <w:style w:type="paragraph" w:styleId="Footer">
    <w:name w:val="footer"/>
    <w:basedOn w:val="Normal"/>
    <w:link w:val="FooterChar"/>
    <w:uiPriority w:val="99"/>
    <w:unhideWhenUsed/>
    <w:rsid w:val="00A861FC"/>
    <w:pPr>
      <w:tabs>
        <w:tab w:val="center" w:pos="4513"/>
        <w:tab w:val="right" w:pos="9026"/>
      </w:tabs>
    </w:pPr>
  </w:style>
  <w:style w:type="character" w:customStyle="1" w:styleId="FooterChar">
    <w:name w:val="Footer Char"/>
    <w:basedOn w:val="DefaultParagraphFont"/>
    <w:link w:val="Footer"/>
    <w:uiPriority w:val="99"/>
    <w:rsid w:val="00A86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ahara@student.uniska.ac.id" TargetMode="External"/><Relationship Id="rId14" Type="http://schemas.openxmlformats.org/officeDocument/2006/relationships/header" Target="header3.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FEBE5-01E5-4969-A736-545E78506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6387</Words>
  <Characters>36411</Characters>
  <Application>Microsoft Office Word</Application>
  <DocSecurity>0</DocSecurity>
  <Lines>303</Lines>
  <Paragraphs>85</Paragraphs>
  <ScaleCrop>false</ScaleCrop>
  <Company/>
  <LinksUpToDate>false</LinksUpToDate>
  <CharactersWithSpaces>42713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4</cp:revision>
  <dcterms:created xsi:type="dcterms:W3CDTF">2026-06-03T14:23:00Z</dcterms:created>
  <dcterms:modified xsi:type="dcterms:W3CDTF">2026-08-04T02:42:00Z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1b663ec6-b586-3e1f-a03d-9363115a5452</vt:lpwstr>
  </property>
  <property fmtid="{D5CDD505-2E9C-101B-9397-08002B2CF9AE}" pid="4" name="Mendeley Citation Style_1">
    <vt:lpwstr>http://www.zotero.org/styles/harvard-cite-them-right</vt:lpwstr>
  </property>
  <property fmtid="{D5CDD505-2E9C-101B-9397-08002B2CF9AE}" pid="5" name="Mendeley Recent Style Id 0_1">
    <vt:lpwstr>http://www.zotero.org/styles/apa</vt:lpwstr>
  </property>
  <property fmtid="{D5CDD505-2E9C-101B-9397-08002B2CF9AE}" pid="6" name="Mendeley Recent Style Name 0_1">
    <vt:lpwstr>APA Style 7th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APSA Style Manual revised 2018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ASA Style Guide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18th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(author-date/Harvard)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