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5C854" w14:textId="77777777" w:rsidR="00B311ED" w:rsidRDefault="00B311ED" w:rsidP="00B311ED">
      <w:pPr>
        <w:pBdr>
          <w:top w:val="nil"/>
          <w:left w:val="nil"/>
          <w:bottom w:val="nil"/>
          <w:right w:val="nil"/>
          <w:between w:val="nil"/>
        </w:pBdr>
        <w:tabs>
          <w:tab w:val="left" w:pos="1650"/>
        </w:tabs>
        <w:jc w:val="center"/>
        <w:rPr>
          <w:color w:val="000000"/>
        </w:rPr>
      </w:pPr>
      <w:r>
        <w:rPr>
          <w:noProof/>
          <w:color w:val="000000"/>
        </w:rPr>
        <w:drawing>
          <wp:anchor distT="0" distB="0" distL="114300" distR="114300" simplePos="0" relativeHeight="251659264" behindDoc="1" locked="0" layoutInCell="1" allowOverlap="1" wp14:anchorId="22CB2124" wp14:editId="65C32057">
            <wp:simplePos x="0" y="0"/>
            <wp:positionH relativeFrom="margin">
              <wp:align>center</wp:align>
            </wp:positionH>
            <wp:positionV relativeFrom="paragraph">
              <wp:posOffset>-693420</wp:posOffset>
            </wp:positionV>
            <wp:extent cx="2844590" cy="1182370"/>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rcRect t="17020" b="7490"/>
                    <a:stretch/>
                  </pic:blipFill>
                  <pic:spPr>
                    <a:xfrm>
                      <a:off x="0" y="0"/>
                      <a:ext cx="2844590" cy="1182370"/>
                    </a:xfrm>
                    <a:prstGeom prst="rect">
                      <a:avLst/>
                    </a:prstGeom>
                    <a:ln>
                      <a:noFill/>
                    </a:ln>
                  </pic:spPr>
                </pic:pic>
              </a:graphicData>
            </a:graphic>
          </wp:anchor>
        </w:drawing>
      </w:r>
    </w:p>
    <w:p w14:paraId="7492120B" w14:textId="77777777" w:rsidR="00B311ED" w:rsidRDefault="00B311ED" w:rsidP="00B311ED">
      <w:pPr>
        <w:pBdr>
          <w:top w:val="nil"/>
          <w:left w:val="nil"/>
          <w:bottom w:val="single" w:sz="6" w:space="1" w:color="auto"/>
          <w:right w:val="nil"/>
          <w:between w:val="nil"/>
        </w:pBdr>
        <w:tabs>
          <w:tab w:val="left" w:pos="1650"/>
        </w:tabs>
        <w:rPr>
          <w:color w:val="000000"/>
        </w:rPr>
      </w:pPr>
    </w:p>
    <w:p w14:paraId="54A03C1B" w14:textId="59E625DA" w:rsidR="000E50B2" w:rsidRPr="00B525D1" w:rsidRDefault="000E50B2" w:rsidP="00B311ED">
      <w:pPr>
        <w:spacing w:line="360" w:lineRule="auto"/>
        <w:rPr>
          <w:rFonts w:ascii="Arial" w:hAnsi="Arial" w:cs="Arial"/>
          <w:sz w:val="28"/>
          <w:szCs w:val="28"/>
        </w:rPr>
      </w:pPr>
      <w:r w:rsidRPr="00B525D1">
        <w:rPr>
          <w:rFonts w:ascii="Arial" w:hAnsi="Arial" w:cs="Arial"/>
          <w:b/>
          <w:bCs/>
          <w:sz w:val="28"/>
          <w:szCs w:val="28"/>
        </w:rPr>
        <w:t xml:space="preserve">Factors Affecting Students’ Misuse of English Tenses in Speaking at Simple English Course, Kampung </w:t>
      </w:r>
      <w:proofErr w:type="spellStart"/>
      <w:r w:rsidRPr="00B525D1">
        <w:rPr>
          <w:rFonts w:ascii="Arial" w:hAnsi="Arial" w:cs="Arial"/>
          <w:b/>
          <w:bCs/>
          <w:sz w:val="28"/>
          <w:szCs w:val="28"/>
        </w:rPr>
        <w:t>Inggris</w:t>
      </w:r>
      <w:proofErr w:type="spellEnd"/>
      <w:r w:rsidRPr="00B525D1">
        <w:rPr>
          <w:rFonts w:ascii="Arial" w:hAnsi="Arial" w:cs="Arial"/>
          <w:b/>
          <w:bCs/>
          <w:sz w:val="28"/>
          <w:szCs w:val="28"/>
        </w:rPr>
        <w:t xml:space="preserve"> Pare</w:t>
      </w:r>
    </w:p>
    <w:p w14:paraId="222EC56E" w14:textId="77777777" w:rsidR="000E50B2" w:rsidRPr="00B311ED" w:rsidRDefault="000E50B2" w:rsidP="00B311ED">
      <w:pPr>
        <w:spacing w:line="240" w:lineRule="auto"/>
        <w:rPr>
          <w:rFonts w:ascii="Arial" w:hAnsi="Arial" w:cs="Arial"/>
          <w:sz w:val="20"/>
          <w:szCs w:val="20"/>
        </w:rPr>
      </w:pPr>
      <w:r w:rsidRPr="00B311ED">
        <w:rPr>
          <w:rFonts w:ascii="Arial" w:hAnsi="Arial" w:cs="Arial"/>
          <w:i/>
          <w:iCs/>
          <w:sz w:val="20"/>
          <w:szCs w:val="20"/>
        </w:rPr>
        <w:t xml:space="preserve">Nurul </w:t>
      </w:r>
      <w:proofErr w:type="spellStart"/>
      <w:r w:rsidRPr="00B311ED">
        <w:rPr>
          <w:rFonts w:ascii="Arial" w:hAnsi="Arial" w:cs="Arial"/>
          <w:i/>
          <w:iCs/>
          <w:sz w:val="20"/>
          <w:szCs w:val="20"/>
        </w:rPr>
        <w:t>wahidah</w:t>
      </w:r>
      <w:proofErr w:type="spellEnd"/>
    </w:p>
    <w:p w14:paraId="4E8BAB00" w14:textId="77777777" w:rsidR="00B20FC1" w:rsidRPr="00B311ED" w:rsidRDefault="00B20FC1" w:rsidP="00B311ED">
      <w:pPr>
        <w:spacing w:line="240" w:lineRule="auto"/>
        <w:rPr>
          <w:rFonts w:ascii="Arial" w:hAnsi="Arial" w:cs="Arial"/>
          <w:sz w:val="20"/>
          <w:szCs w:val="20"/>
          <w:lang w:val="en-ID"/>
        </w:rPr>
      </w:pPr>
      <w:r w:rsidRPr="00B311ED">
        <w:rPr>
          <w:rFonts w:ascii="Arial" w:hAnsi="Arial" w:cs="Arial"/>
          <w:i/>
          <w:iCs/>
          <w:sz w:val="20"/>
          <w:szCs w:val="20"/>
          <w:lang w:val="en-ID"/>
        </w:rPr>
        <w:t>¹ English Education Department, Universitas Islam Kadiri, Indonesia</w:t>
      </w:r>
    </w:p>
    <w:p w14:paraId="271CC959" w14:textId="504DF9BE" w:rsidR="000E50B2" w:rsidRPr="00B525D1" w:rsidRDefault="00B20FC1" w:rsidP="00B311ED">
      <w:pPr>
        <w:spacing w:line="240" w:lineRule="auto"/>
        <w:rPr>
          <w:rFonts w:ascii="Arial" w:hAnsi="Arial" w:cs="Arial"/>
          <w:i/>
          <w:iCs/>
        </w:rPr>
      </w:pPr>
      <w:r w:rsidRPr="00B311ED">
        <w:rPr>
          <w:rFonts w:ascii="Arial" w:hAnsi="Arial" w:cs="Arial"/>
          <w:i/>
          <w:iCs/>
          <w:sz w:val="20"/>
          <w:szCs w:val="20"/>
          <w:lang w:val="en-ID"/>
        </w:rPr>
        <w:t xml:space="preserve">Corresponding author’s e-mail: </w:t>
      </w:r>
      <w:r w:rsidR="003A4C09" w:rsidRPr="00B311ED">
        <w:rPr>
          <w:rFonts w:ascii="Arial" w:hAnsi="Arial" w:cs="Arial"/>
          <w:sz w:val="20"/>
          <w:szCs w:val="20"/>
        </w:rPr>
        <w:t>Nurulwahidah@student.uniska</w:t>
      </w:r>
      <w:r w:rsidR="00BB2C1D" w:rsidRPr="00B311ED">
        <w:rPr>
          <w:rFonts w:ascii="Arial" w:hAnsi="Arial" w:cs="Arial"/>
          <w:sz w:val="20"/>
          <w:szCs w:val="20"/>
        </w:rPr>
        <w:t>-kediri.ac.id</w:t>
      </w:r>
      <w:r w:rsidR="00BB2C1D" w:rsidRPr="00B525D1">
        <w:rPr>
          <w:rFonts w:ascii="Arial" w:hAnsi="Arial" w:cs="Arial"/>
        </w:rPr>
        <w:t>.</w:t>
      </w:r>
    </w:p>
    <w:p w14:paraId="2B677639" w14:textId="77777777" w:rsidR="000E50B2" w:rsidRPr="00B525D1" w:rsidRDefault="000E50B2" w:rsidP="00B525D1">
      <w:pPr>
        <w:spacing w:line="360" w:lineRule="auto"/>
        <w:jc w:val="center"/>
        <w:rPr>
          <w:rFonts w:ascii="Arial" w:hAnsi="Arial" w:cs="Arial"/>
        </w:rPr>
      </w:pPr>
    </w:p>
    <w:p w14:paraId="16651973" w14:textId="77777777" w:rsidR="000E50B2" w:rsidRPr="00B525D1" w:rsidRDefault="000E50B2" w:rsidP="00FF3BF2">
      <w:pPr>
        <w:spacing w:line="360" w:lineRule="auto"/>
        <w:jc w:val="center"/>
        <w:rPr>
          <w:rFonts w:ascii="Arial" w:hAnsi="Arial" w:cs="Arial"/>
        </w:rPr>
      </w:pPr>
      <w:r w:rsidRPr="00B525D1">
        <w:rPr>
          <w:rFonts w:ascii="Arial" w:hAnsi="Arial" w:cs="Arial"/>
          <w:b/>
          <w:bCs/>
        </w:rPr>
        <w:t>Abstract</w:t>
      </w:r>
    </w:p>
    <w:p w14:paraId="3F8E1A82" w14:textId="77777777" w:rsidR="000E50B2" w:rsidRPr="002D415F" w:rsidRDefault="000E50B2" w:rsidP="00B525D1">
      <w:pPr>
        <w:spacing w:line="360" w:lineRule="auto"/>
        <w:rPr>
          <w:rFonts w:ascii="Arial" w:hAnsi="Arial" w:cs="Arial"/>
          <w:sz w:val="22"/>
          <w:szCs w:val="22"/>
        </w:rPr>
      </w:pPr>
      <w:r w:rsidRPr="002D415F">
        <w:rPr>
          <w:rFonts w:ascii="Arial" w:hAnsi="Arial" w:cs="Arial"/>
          <w:sz w:val="22"/>
          <w:szCs w:val="22"/>
        </w:rPr>
        <w:t xml:space="preserve">The misuse of English tenses is a frequent problem among EFL learners, especially in speaking tasks that require spontaneous oral production. Many learners can answer written tense exercises correctly, but they often fail to apply tense rules consistently when speaking in real time. This gap suggests that knowing grammar rules does not automatically become accurate spoken performance, because speaking requires learners to manage ideas, vocabulary, fluency, and grammatical monitoring at the same time. This qualitative study explores the factors that affect students’ misuse of English tenses in speaking at Simple English Course in Kampung </w:t>
      </w:r>
      <w:proofErr w:type="spellStart"/>
      <w:r w:rsidRPr="002D415F">
        <w:rPr>
          <w:rFonts w:ascii="Arial" w:hAnsi="Arial" w:cs="Arial"/>
          <w:sz w:val="22"/>
          <w:szCs w:val="22"/>
        </w:rPr>
        <w:t>Inggris</w:t>
      </w:r>
      <w:proofErr w:type="spellEnd"/>
      <w:r w:rsidRPr="002D415F">
        <w:rPr>
          <w:rFonts w:ascii="Arial" w:hAnsi="Arial" w:cs="Arial"/>
          <w:sz w:val="22"/>
          <w:szCs w:val="22"/>
        </w:rPr>
        <w:t>, Pare, Kediri. The participants were five basic-level students of mixed ages. Data were collected in two course sessions through observation of speaking activities, targeted speaking tasks, and semi-structured interviews. Spoken data were transcribed and analyzed to identify recurring tense misuse patterns, and interview data were coded thematically to interpret learners’ reasons and contextual influences. The study uses interlanguage and speaking-performance perspectives to explain tense misuse as the result of interacting factors, including limited functional grammar control, limited speaking practice and feedback, first-language transfer, attention limits during speech, and affective variables such as anxiety and confidence. The study is expected to help tutors design speaking activities that keep communication meaningful while supporting tense accuracy through brief focus on form, feedback, and confidence-building interaction.</w:t>
      </w:r>
    </w:p>
    <w:p w14:paraId="499BBCE0" w14:textId="77777777" w:rsidR="000E50B2" w:rsidRPr="00B525D1" w:rsidRDefault="000E50B2" w:rsidP="00B525D1">
      <w:pPr>
        <w:spacing w:line="360" w:lineRule="auto"/>
        <w:rPr>
          <w:rFonts w:ascii="Arial" w:hAnsi="Arial" w:cs="Arial"/>
        </w:rPr>
      </w:pPr>
      <w:proofErr w:type="gramStart"/>
      <w:r w:rsidRPr="002D415F">
        <w:rPr>
          <w:rFonts w:ascii="Arial" w:hAnsi="Arial" w:cs="Arial"/>
          <w:b/>
          <w:bCs/>
          <w:sz w:val="22"/>
          <w:szCs w:val="22"/>
        </w:rPr>
        <w:t>Keywords :</w:t>
      </w:r>
      <w:proofErr w:type="gramEnd"/>
      <w:r w:rsidRPr="002D415F">
        <w:rPr>
          <w:rFonts w:ascii="Arial" w:hAnsi="Arial" w:cs="Arial"/>
          <w:b/>
          <w:bCs/>
          <w:sz w:val="22"/>
          <w:szCs w:val="22"/>
        </w:rPr>
        <w:t xml:space="preserve"> </w:t>
      </w:r>
      <w:r w:rsidRPr="002D415F">
        <w:rPr>
          <w:rFonts w:ascii="Arial" w:hAnsi="Arial" w:cs="Arial"/>
          <w:sz w:val="22"/>
          <w:szCs w:val="22"/>
        </w:rPr>
        <w:t>EFL learners; tense misuse; English speaking; interlanguage; L1 transfer; language anxiety; focus on form</w:t>
      </w:r>
    </w:p>
    <w:p w14:paraId="2335DB8F" w14:textId="77777777" w:rsidR="000E50B2" w:rsidRDefault="000E50B2" w:rsidP="00B525D1">
      <w:pPr>
        <w:spacing w:line="360" w:lineRule="auto"/>
        <w:rPr>
          <w:rFonts w:ascii="Arial" w:hAnsi="Arial" w:cs="Arial"/>
          <w:b/>
          <w:bCs/>
        </w:rPr>
      </w:pPr>
    </w:p>
    <w:p w14:paraId="7EB25869" w14:textId="77777777" w:rsidR="002D415F" w:rsidRPr="00B525D1" w:rsidRDefault="002D415F" w:rsidP="00B525D1">
      <w:pPr>
        <w:spacing w:line="360" w:lineRule="auto"/>
        <w:rPr>
          <w:rFonts w:ascii="Arial" w:hAnsi="Arial" w:cs="Arial"/>
          <w:b/>
          <w:bCs/>
        </w:rPr>
      </w:pPr>
    </w:p>
    <w:p w14:paraId="5792A00E" w14:textId="77777777" w:rsidR="00DA1777" w:rsidRDefault="00DA1777" w:rsidP="00B525D1">
      <w:pPr>
        <w:spacing w:line="360" w:lineRule="auto"/>
        <w:rPr>
          <w:rFonts w:ascii="Arial" w:eastAsia="Arial" w:hAnsi="Arial" w:cs="Arial"/>
          <w:b/>
          <w:bCs/>
        </w:rPr>
      </w:pPr>
    </w:p>
    <w:p w14:paraId="07A1FA6C" w14:textId="6C10B23C" w:rsidR="00DA1777" w:rsidRDefault="00DA1777" w:rsidP="00B525D1">
      <w:pPr>
        <w:spacing w:line="360" w:lineRule="auto"/>
        <w:rPr>
          <w:rFonts w:ascii="Arial" w:hAnsi="Arial" w:cs="Arial"/>
        </w:rPr>
      </w:pPr>
      <w:r>
        <w:rPr>
          <w:rFonts w:ascii="Arial" w:eastAsia="Arial" w:hAnsi="Arial" w:cs="Arial"/>
          <w:b/>
          <w:bCs/>
        </w:rPr>
        <w:t>INTRODUCTION</w:t>
      </w:r>
      <w:r w:rsidRPr="00B525D1">
        <w:rPr>
          <w:rFonts w:ascii="Arial" w:hAnsi="Arial" w:cs="Arial"/>
        </w:rPr>
        <w:t xml:space="preserve"> </w:t>
      </w:r>
    </w:p>
    <w:p w14:paraId="68622517" w14:textId="365F7897" w:rsidR="000E50B2" w:rsidRPr="00B525D1" w:rsidRDefault="000E50B2" w:rsidP="00B525D1">
      <w:pPr>
        <w:spacing w:line="360" w:lineRule="auto"/>
        <w:rPr>
          <w:rFonts w:ascii="Arial" w:hAnsi="Arial" w:cs="Arial"/>
        </w:rPr>
      </w:pPr>
      <w:r w:rsidRPr="00B525D1">
        <w:rPr>
          <w:rFonts w:ascii="Arial" w:hAnsi="Arial" w:cs="Arial"/>
        </w:rPr>
        <w:t xml:space="preserve">Accurate tense use is essential in spoken English because tense helps speakers express </w:t>
      </w:r>
      <w:r w:rsidRPr="00B525D1">
        <w:rPr>
          <w:rFonts w:ascii="Arial" w:hAnsi="Arial" w:cs="Arial"/>
          <w:i/>
          <w:iCs/>
        </w:rPr>
        <w:t>time reference</w:t>
      </w:r>
      <w:r w:rsidRPr="00B525D1">
        <w:rPr>
          <w:rFonts w:ascii="Arial" w:hAnsi="Arial" w:cs="Arial"/>
        </w:rPr>
        <w:t xml:space="preserve">, show the </w:t>
      </w:r>
      <w:r w:rsidRPr="00B525D1">
        <w:rPr>
          <w:rFonts w:ascii="Arial" w:hAnsi="Arial" w:cs="Arial"/>
          <w:i/>
          <w:iCs/>
        </w:rPr>
        <w:t>sequence of events</w:t>
      </w:r>
      <w:r w:rsidRPr="00B525D1">
        <w:rPr>
          <w:rFonts w:ascii="Arial" w:hAnsi="Arial" w:cs="Arial"/>
        </w:rPr>
        <w:t>, and build clear meaning in interaction. In everyday communication, listeners depend on tense and temporal markers to understand whether an action happens routinely, is happening now, happened in the past, or is planned for the future.</w:t>
      </w:r>
      <w:r w:rsidR="00DF5C5D" w:rsidRPr="00B525D1">
        <w:rPr>
          <w:rFonts w:ascii="Arial" w:hAnsi="Arial" w:cs="Arial"/>
        </w:rPr>
        <w:t xml:space="preserve"> This is why tense accuracy is often discussed as part of </w:t>
      </w:r>
      <w:r w:rsidR="00DF5C5D" w:rsidRPr="00B525D1">
        <w:rPr>
          <w:rFonts w:ascii="Arial" w:hAnsi="Arial" w:cs="Arial"/>
          <w:i/>
          <w:iCs/>
        </w:rPr>
        <w:t>communicative clarity</w:t>
      </w:r>
      <w:r w:rsidR="00DF5C5D" w:rsidRPr="00B525D1">
        <w:rPr>
          <w:rFonts w:ascii="Arial" w:hAnsi="Arial" w:cs="Arial"/>
        </w:rPr>
        <w:t>, because incorrect time reference can distort meaning even when vocabulary choice is adequate</w:t>
      </w:r>
      <w:r w:rsidR="002E2364" w:rsidRPr="00B525D1">
        <w:rPr>
          <w:rFonts w:ascii="Arial" w:hAnsi="Arial" w:cs="Arial"/>
        </w:rPr>
        <w:t>.</w:t>
      </w:r>
      <w:r w:rsidR="00E84881" w:rsidRPr="00B525D1">
        <w:rPr>
          <w:rFonts w:ascii="Arial" w:hAnsi="Arial" w:cs="Arial"/>
        </w:rPr>
        <w:t xml:space="preserve"> In speaking, tense marking must be retrieved and produced in real time, which makes it more vulnerable to breakdown than in carefully edited </w:t>
      </w:r>
      <w:proofErr w:type="gramStart"/>
      <w:r w:rsidR="00E84881" w:rsidRPr="00B525D1">
        <w:rPr>
          <w:rFonts w:ascii="Arial" w:hAnsi="Arial" w:cs="Arial"/>
        </w:rPr>
        <w:t>writing..</w:t>
      </w:r>
      <w:proofErr w:type="gramEnd"/>
      <w:r w:rsidRPr="00B525D1">
        <w:rPr>
          <w:rFonts w:ascii="Arial" w:hAnsi="Arial" w:cs="Arial"/>
        </w:rPr>
        <w:t xml:space="preserve"> For EFL learners, however, tense misuse remains one of the most frequent grammatical problems, and it tends to appear more clearly in speaking than in writing</w:t>
      </w:r>
      <w:r w:rsidR="007A4246" w:rsidRPr="00B525D1">
        <w:rPr>
          <w:rFonts w:ascii="Arial" w:hAnsi="Arial" w:cs="Arial"/>
        </w:rPr>
        <w:t xml:space="preserve"> </w:t>
      </w:r>
      <w:r w:rsidR="00EC6482" w:rsidRPr="00B525D1">
        <w:rPr>
          <w:rFonts w:ascii="Arial" w:hAnsi="Arial" w:cs="Arial"/>
        </w:rPr>
        <w:fldChar w:fldCharType="begin" w:fldLock="1"/>
      </w:r>
      <w:r w:rsidR="00B2589A" w:rsidRPr="00B525D1">
        <w:rPr>
          <w:rFonts w:ascii="Arial" w:hAnsi="Arial" w:cs="Arial"/>
        </w:rPr>
        <w:instrText>ADDIN CSL_CITATION {"citationItems":[{"id":"ITEM-1","itemData":{"author":[{"dropping-particle":"","family":"Kalimantan","given":"South","non-dropping-particle":"","parse-names":false,"suffix":""}],"id":"ITEM-1","issue":"1","issued":{"date-parts":[["2020"]]},"page":"86-95","title":"EFL Learners ’ Problems in Using Tenses : An Insight for Grammar Teaching","type":"article-journal"},"uris":["http://www.mendeley.com/documents/?uuid=e98bb2f2-49c1-452e-8975-8de95bb76651"]}],"mendeley":{"formattedCitation":"(Kalimantan, 2020)","plainTextFormattedCitation":"(Kalimantan, 2020)","previouslyFormattedCitation":"(Kalimantan, 2020)"},"properties":{"noteIndex":0},"schema":"https://github.com/citation-style-language/schema/raw/master/csl-citation.json"}</w:instrText>
      </w:r>
      <w:r w:rsidR="00EC6482" w:rsidRPr="00B525D1">
        <w:rPr>
          <w:rFonts w:ascii="Arial" w:hAnsi="Arial" w:cs="Arial"/>
        </w:rPr>
        <w:fldChar w:fldCharType="separate"/>
      </w:r>
      <w:r w:rsidR="00EC6482" w:rsidRPr="00B525D1">
        <w:rPr>
          <w:rFonts w:ascii="Arial" w:hAnsi="Arial" w:cs="Arial"/>
          <w:noProof/>
        </w:rPr>
        <w:t>(Kalimantan, 2020)</w:t>
      </w:r>
      <w:r w:rsidR="00EC6482" w:rsidRPr="00B525D1">
        <w:rPr>
          <w:rFonts w:ascii="Arial" w:hAnsi="Arial" w:cs="Arial"/>
        </w:rPr>
        <w:fldChar w:fldCharType="end"/>
      </w:r>
      <w:r w:rsidRPr="00B525D1">
        <w:rPr>
          <w:rFonts w:ascii="Arial" w:hAnsi="Arial" w:cs="Arial"/>
        </w:rPr>
        <w:t xml:space="preserve">. Many learners can answer written tense exercises correctly, but their tense use becomes inconsistent when they speak spontaneously. This situation suggests that explicit knowledge of rules does not automatically become accurate spoken performance </w:t>
      </w:r>
      <w:r w:rsidRPr="00B525D1">
        <w:rPr>
          <w:rFonts w:ascii="Arial" w:hAnsi="Arial" w:cs="Arial"/>
        </w:rPr>
        <w:fldChar w:fldCharType="begin" w:fldLock="1"/>
      </w:r>
      <w:r w:rsidR="00D87B00" w:rsidRPr="00B525D1">
        <w:rPr>
          <w:rFonts w:ascii="Arial" w:hAnsi="Arial" w:cs="Arial"/>
        </w:rPr>
        <w:instrText>ADDIN CSL_CITATION {"citationItems":[{"id":"ITEM-1","itemData":{"DOI":"10.1016/j.rmal.2023.100051","author":[{"dropping-particle":"","family":"Suzuki","given":"Yuichi","non-dropping-particle":"","parse-names":false,"suffix":""},{"dropping-particle":"","family":"Jeong","given":"Hyeonjeong","non-dropping-particle":"","parse-names":false,"suffix":""},{"dropping-particle":"","family":"Cui","given":"Haining","non-dropping-particle":"","parse-names":false,"suffix":""},{"dropping-particle":"","family":"Okamoto","given":"Kiyo","non-dropping-particle":"","parse-names":false,"suffix":""}],"id":"ITEM-1","issue":"April","issued":{"date-parts":[["2023"]]},"publisher":"Elsevier Ltd","title":"Research Methods in Applied Linguistics fMRI reveals the dynamic interface between explicit and implicit knowledge recruited during elicited imitation task","type":"article-journal","volume":"2"},"uris":["http://www.mendeley.com/documents/?uuid=7c906a01-167e-4fef-a95c-1942b15dbba1"]}],"mendeley":{"formattedCitation":"(Suzuki et al., 2023)","plainTextFormattedCitation":"(Suzuki et al., 2023)","previouslyFormattedCitation":"(Suzuki et al., 2023)"},"properties":{"noteIndex":0},"schema":"https://github.com/citation-style-language/schema/raw/master/csl-citation.json"}</w:instrText>
      </w:r>
      <w:r w:rsidRPr="00B525D1">
        <w:rPr>
          <w:rFonts w:ascii="Arial" w:hAnsi="Arial" w:cs="Arial"/>
        </w:rPr>
        <w:fldChar w:fldCharType="separate"/>
      </w:r>
      <w:r w:rsidRPr="00B525D1">
        <w:rPr>
          <w:rFonts w:ascii="Arial" w:hAnsi="Arial" w:cs="Arial"/>
          <w:noProof/>
        </w:rPr>
        <w:t>(Suzuki et al., 2023)</w:t>
      </w:r>
      <w:r w:rsidRPr="00B525D1">
        <w:rPr>
          <w:rFonts w:ascii="Arial" w:hAnsi="Arial" w:cs="Arial"/>
        </w:rPr>
        <w:fldChar w:fldCharType="end"/>
      </w:r>
      <w:r w:rsidR="00D93C59" w:rsidRPr="00B525D1">
        <w:rPr>
          <w:rFonts w:ascii="Arial" w:hAnsi="Arial" w:cs="Arial"/>
        </w:rPr>
        <w:t xml:space="preserve">.  Empirical work on oral performance also shows that learners’ accuracy can fluctuate depending on speaking conditions </w:t>
      </w:r>
      <w:r w:rsidR="009C3CAB" w:rsidRPr="00B525D1">
        <w:rPr>
          <w:rFonts w:ascii="Arial" w:hAnsi="Arial" w:cs="Arial"/>
        </w:rPr>
        <w:fldChar w:fldCharType="begin" w:fldLock="1"/>
      </w:r>
      <w:r w:rsidR="00642094" w:rsidRPr="00B525D1">
        <w:rPr>
          <w:rFonts w:ascii="Arial" w:hAnsi="Arial" w:cs="Arial"/>
        </w:rPr>
        <w:instrText>ADDIN CSL_CITATION {"citationItems":[{"id":"ITEM-1","itemData":{"DOI":"10.1017/S0272263124000470","author":[{"dropping-particle":"","family":"Mora-plaza","given":"Ingrid","non-dropping-particle":"","parse-names":false,"suffix":""},{"dropping-particle":"","family":"Mora","given":"Joan C","non-dropping-particle":"","parse-names":false,"suffix":""}],"id":"ITEM-1","issued":{"date-parts":[["2024"]]},"page":"1117-1149","title":"Is L2 pronunciation affected by increased task complexity in pronunciation-unfocused speaking tasks ?","type":"article-journal"},"uris":["http://www.mendeley.com/documents/?uuid=92f14ec8-64f8-43bb-b5c8-3cbc5fa92c94"]}],"mendeley":{"formattedCitation":"(Mora-plaza &amp; Mora, 2024)","plainTextFormattedCitation":"(Mora-plaza &amp; Mora, 2024)","previouslyFormattedCitation":"(Mora-plaza &amp; Mora, 2024)"},"properties":{"noteIndex":0},"schema":"https://github.com/citation-style-language/schema/raw/master/csl-citation.json"}</w:instrText>
      </w:r>
      <w:r w:rsidR="009C3CAB" w:rsidRPr="00B525D1">
        <w:rPr>
          <w:rFonts w:ascii="Arial" w:hAnsi="Arial" w:cs="Arial"/>
        </w:rPr>
        <w:fldChar w:fldCharType="separate"/>
      </w:r>
      <w:r w:rsidR="009C3CAB" w:rsidRPr="00B525D1">
        <w:rPr>
          <w:rFonts w:ascii="Arial" w:hAnsi="Arial" w:cs="Arial"/>
          <w:noProof/>
        </w:rPr>
        <w:t>(Mora-plaza &amp; Mora, 2024)</w:t>
      </w:r>
      <w:r w:rsidR="009C3CAB" w:rsidRPr="00B525D1">
        <w:rPr>
          <w:rFonts w:ascii="Arial" w:hAnsi="Arial" w:cs="Arial"/>
        </w:rPr>
        <w:fldChar w:fldCharType="end"/>
      </w:r>
      <w:r w:rsidR="009C3CAB" w:rsidRPr="00B525D1">
        <w:rPr>
          <w:rFonts w:ascii="Arial" w:hAnsi="Arial" w:cs="Arial"/>
        </w:rPr>
        <w:t xml:space="preserve">. </w:t>
      </w:r>
      <w:r w:rsidR="00D93C59" w:rsidRPr="00B525D1">
        <w:rPr>
          <w:rFonts w:ascii="Arial" w:hAnsi="Arial" w:cs="Arial"/>
        </w:rPr>
        <w:t>indicating that “knowing” and “doing” grammar are not identical in speaking contexts.</w:t>
      </w:r>
    </w:p>
    <w:p w14:paraId="1835CB6F" w14:textId="56672791" w:rsidR="000E50B2" w:rsidRPr="00B525D1" w:rsidRDefault="000E50B2" w:rsidP="00C67A81">
      <w:pPr>
        <w:spacing w:line="360" w:lineRule="auto"/>
        <w:ind w:firstLine="720"/>
        <w:rPr>
          <w:rFonts w:ascii="Arial" w:hAnsi="Arial" w:cs="Arial"/>
        </w:rPr>
      </w:pPr>
      <w:r w:rsidRPr="00B525D1">
        <w:rPr>
          <w:rFonts w:ascii="Arial" w:hAnsi="Arial" w:cs="Arial"/>
        </w:rPr>
        <w:t>One reason tense misuse is common in speaking is that speaking is cognitively demanding. When learners speak, they must generate ideas, choose vocabulary, organize sentences, and pronounce words quickly. At the same time, they must also monitor their grammar, including tense forms. These processes happen under limited attention and time. Psycholinguistic perspectives describe speaking as a complex process that involves conceptualization, formulation, articulation, and self-monitoring, often occurring very rapidly</w:t>
      </w:r>
      <w:r w:rsidR="00D87B00" w:rsidRPr="00B525D1">
        <w:rPr>
          <w:rFonts w:ascii="Arial" w:hAnsi="Arial" w:cs="Arial"/>
        </w:rPr>
        <w:fldChar w:fldCharType="begin" w:fldLock="1"/>
      </w:r>
      <w:r w:rsidR="00D87B00" w:rsidRPr="00B525D1">
        <w:rPr>
          <w:rFonts w:ascii="Arial" w:hAnsi="Arial" w:cs="Arial"/>
        </w:rPr>
        <w:instrText>ADDIN CSL_CITATION {"citationItems":[{"id":"ITEM-1","itemData":{"DOI":"10.1016/j.ssaho.2025.102126","ISSN":"2590-2911","author":[{"dropping-particle":"","family":"Chih-chung","given":"Lin","non-dropping-particle":"","parse-names":false,"suffix":""},{"dropping-particle":"","family":"Fu-yun","given":"Yu","non-dropping-particle":"","parse-names":false,"suffix":""}],"container-title":"Social Sciences &amp; Humanities Open","id":"ITEM-1","issue":"1","issued":{"date-parts":[["2025"]]},"page":"102126","publisher":"Elsevier Ltd","title":"Social Sciences &amp; Humanities Open Impact of scaffold structures on student-generated questions in English grammar learning","type":"article-journal","volume":"12"},"uris":["http://www.mendeley.com/documents/?uuid=97ff5c6e-f78c-4b66-8936-7cd7e5797340"]}],"mendeley":{"formattedCitation":"(Chih-chung &amp; Fu-yun, 2025)","plainTextFormattedCitation":"(Chih-chung &amp; Fu-yun, 2025)","previouslyFormattedCitation":"(Chih-chung &amp; Fu-yun, 2025)"},"properties":{"noteIndex":0},"schema":"https://github.com/citation-style-language/schema/raw/master/csl-citation.json"}</w:instrText>
      </w:r>
      <w:r w:rsidR="00D87B00" w:rsidRPr="00B525D1">
        <w:rPr>
          <w:rFonts w:ascii="Arial" w:hAnsi="Arial" w:cs="Arial"/>
        </w:rPr>
        <w:fldChar w:fldCharType="separate"/>
      </w:r>
      <w:r w:rsidR="00D87B00" w:rsidRPr="00B525D1">
        <w:rPr>
          <w:rFonts w:ascii="Arial" w:hAnsi="Arial" w:cs="Arial"/>
          <w:noProof/>
        </w:rPr>
        <w:t>(Chih-</w:t>
      </w:r>
      <w:proofErr w:type="spellStart"/>
      <w:r w:rsidR="00D87B00" w:rsidRPr="00B525D1">
        <w:rPr>
          <w:rFonts w:ascii="Arial" w:hAnsi="Arial" w:cs="Arial"/>
          <w:noProof/>
        </w:rPr>
        <w:t>chung</w:t>
      </w:r>
      <w:proofErr w:type="spellEnd"/>
      <w:r w:rsidR="00D87B00" w:rsidRPr="00B525D1">
        <w:rPr>
          <w:rFonts w:ascii="Arial" w:hAnsi="Arial" w:cs="Arial"/>
          <w:noProof/>
        </w:rPr>
        <w:t xml:space="preserve"> &amp; Fu-yun, 2025)</w:t>
      </w:r>
      <w:r w:rsidR="00D87B00" w:rsidRPr="00B525D1">
        <w:rPr>
          <w:rFonts w:ascii="Arial" w:hAnsi="Arial" w:cs="Arial"/>
        </w:rPr>
        <w:fldChar w:fldCharType="end"/>
      </w:r>
      <w:r w:rsidRPr="00B525D1">
        <w:rPr>
          <w:rFonts w:ascii="Arial" w:hAnsi="Arial" w:cs="Arial"/>
        </w:rPr>
        <w:t xml:space="preserve">. </w:t>
      </w:r>
      <w:r w:rsidR="007171AC" w:rsidRPr="00B525D1">
        <w:rPr>
          <w:rFonts w:ascii="Arial" w:hAnsi="Arial" w:cs="Arial"/>
        </w:rPr>
        <w:t xml:space="preserve">Because attention is limited, learners may distribute resources toward fluency </w:t>
      </w:r>
      <w:r w:rsidR="007171AC" w:rsidRPr="00B525D1">
        <w:rPr>
          <w:rFonts w:ascii="Arial" w:hAnsi="Arial" w:cs="Arial"/>
        </w:rPr>
        <w:lastRenderedPageBreak/>
        <w:t xml:space="preserve">and message delivery rather than detailed grammatical encoding, particularly when tasks are complex or time-pressured. </w:t>
      </w:r>
      <w:r w:rsidRPr="00B525D1">
        <w:rPr>
          <w:rFonts w:ascii="Arial" w:hAnsi="Arial" w:cs="Arial"/>
        </w:rPr>
        <w:t>Under these conditions, learners may prioritize conveying meaning and maintaining fluency, while grammatical accuracy becomes secondary. As a result, tense marking can be omitted, simplified, or replaced with “default” forms such as the present tense, especially when learners speak without preparation or are asked to respond immediately.</w:t>
      </w:r>
      <w:r w:rsidR="00C31E84" w:rsidRPr="00B525D1">
        <w:rPr>
          <w:rFonts w:ascii="Arial" w:hAnsi="Arial" w:cs="Arial"/>
          <w:color w:val="404040"/>
          <w:shd w:val="clear" w:color="auto" w:fill="F5F5F5"/>
        </w:rPr>
        <w:t xml:space="preserve"> </w:t>
      </w:r>
      <w:r w:rsidR="00C31E84" w:rsidRPr="00B525D1">
        <w:rPr>
          <w:rFonts w:ascii="Arial" w:hAnsi="Arial" w:cs="Arial"/>
        </w:rPr>
        <w:t>Recent evidence suggests that increasing task demands can be associated with reduced performance in accuracy-related dimensions for some learners, especially when anxiety is also elevated.</w:t>
      </w:r>
      <w:r w:rsidR="00391ED4" w:rsidRPr="00B525D1">
        <w:rPr>
          <w:rFonts w:ascii="Arial" w:hAnsi="Arial" w:cs="Arial"/>
        </w:rPr>
        <w:t xml:space="preserve"> From the perspective of Cognitive Load Theory, working memory has a highly finite capacity, and excessive mental effort during complex tasks like speaking can significantly hinder language acquisition and oral performance</w:t>
      </w:r>
      <w:r w:rsidR="00B2589A" w:rsidRPr="00B525D1">
        <w:rPr>
          <w:rFonts w:ascii="Arial" w:hAnsi="Arial" w:cs="Arial"/>
        </w:rPr>
        <w:t xml:space="preserve"> </w:t>
      </w:r>
      <w:r w:rsidR="00B2589A" w:rsidRPr="00B525D1">
        <w:rPr>
          <w:rFonts w:ascii="Arial" w:hAnsi="Arial" w:cs="Arial"/>
        </w:rPr>
        <w:fldChar w:fldCharType="begin" w:fldLock="1"/>
      </w:r>
      <w:r w:rsidR="00DA48C1" w:rsidRPr="00B525D1">
        <w:rPr>
          <w:rFonts w:ascii="Arial" w:hAnsi="Arial" w:cs="Arial"/>
        </w:rPr>
        <w:instrText>ADDIN CSL_CITATION {"citationItems":[{"id":"ITEM-1","itemData":{"author":[{"dropping-particle":"","family":"Journal","given":"Contemporary","non-dropping-particle":"","parse-names":false,"suffix":""},{"dropping-particle":"","family":"Social","given":"O F","non-dropping-particle":"","parse-names":false,"suffix":""},{"dropping-particle":"","family":"Review","given":"Science","non-dropping-particle":"","parse-names":false,"suffix":""}],"id":"ITEM-1","issue":"04","issued":{"date-parts":[["2025"]]},"page":"1633-1645","title":"THE IMPACT OF ANXIETY AND COGNITIVE LOAD ON ENGLISH SPEAKING","type":"article-journal","volume":"03"},"uris":["http://www.mendeley.com/documents/?uuid=729602be-6188-4b15-8e64-7cf3f96c6eb7"]}],"mendeley":{"formattedCitation":"(Journal et al., 2025)","plainTextFormattedCitation":"(Journal et al., 2025)","previouslyFormattedCitation":"(Journal et al., 2025)"},"properties":{"noteIndex":0},"schema":"https://github.com/citation-style-language/schema/raw/master/csl-citation.json"}</w:instrText>
      </w:r>
      <w:r w:rsidR="00B2589A" w:rsidRPr="00B525D1">
        <w:rPr>
          <w:rFonts w:ascii="Arial" w:hAnsi="Arial" w:cs="Arial"/>
        </w:rPr>
        <w:fldChar w:fldCharType="separate"/>
      </w:r>
      <w:r w:rsidR="00B2589A" w:rsidRPr="00B525D1">
        <w:rPr>
          <w:rFonts w:ascii="Arial" w:hAnsi="Arial" w:cs="Arial"/>
          <w:noProof/>
        </w:rPr>
        <w:t>(Journal et al., 2025)</w:t>
      </w:r>
      <w:r w:rsidR="00B2589A" w:rsidRPr="00B525D1">
        <w:rPr>
          <w:rFonts w:ascii="Arial" w:hAnsi="Arial" w:cs="Arial"/>
        </w:rPr>
        <w:fldChar w:fldCharType="end"/>
      </w:r>
    </w:p>
    <w:p w14:paraId="62CA2043" w14:textId="3E6FF7EE" w:rsidR="000E50B2" w:rsidRPr="00B525D1" w:rsidRDefault="000E50B2" w:rsidP="00C67A81">
      <w:pPr>
        <w:spacing w:line="360" w:lineRule="auto"/>
        <w:ind w:firstLine="720"/>
        <w:rPr>
          <w:rFonts w:ascii="Arial" w:hAnsi="Arial" w:cs="Arial"/>
        </w:rPr>
      </w:pPr>
      <w:r w:rsidRPr="00B525D1">
        <w:rPr>
          <w:rFonts w:ascii="Arial" w:hAnsi="Arial" w:cs="Arial"/>
        </w:rPr>
        <w:t xml:space="preserve">In second language acquisition studies, learners’ tense errors can be understood through the concept of </w:t>
      </w:r>
      <w:r w:rsidRPr="00B525D1">
        <w:rPr>
          <w:rFonts w:ascii="Arial" w:hAnsi="Arial" w:cs="Arial"/>
          <w:i/>
          <w:iCs/>
        </w:rPr>
        <w:t>interlanguage</w:t>
      </w:r>
      <w:r w:rsidRPr="00B525D1">
        <w:rPr>
          <w:rFonts w:ascii="Arial" w:hAnsi="Arial" w:cs="Arial"/>
        </w:rPr>
        <w:t>. Interlanguage refers to the learner’s developing language system, which is systematic but still differs from the target language. In this framework, errors are not merely failures; they show the learner’s current stage of development and how the learner is constructing temporary rules and testing hypotheses about the target language</w:t>
      </w:r>
      <w:r w:rsidR="00D87B00" w:rsidRPr="00B525D1">
        <w:rPr>
          <w:rFonts w:ascii="Arial" w:hAnsi="Arial" w:cs="Arial"/>
        </w:rPr>
        <w:t xml:space="preserve"> </w:t>
      </w:r>
      <w:r w:rsidR="00D87B00" w:rsidRPr="00B525D1">
        <w:rPr>
          <w:rFonts w:ascii="Arial" w:hAnsi="Arial" w:cs="Arial"/>
        </w:rPr>
        <w:fldChar w:fldCharType="begin" w:fldLock="1"/>
      </w:r>
      <w:r w:rsidR="005A73AC" w:rsidRPr="00B525D1">
        <w:rPr>
          <w:rFonts w:ascii="Arial" w:hAnsi="Arial" w:cs="Arial"/>
        </w:rPr>
        <w:instrText>ADDIN CSL_CITATION {"citationItems":[{"id":"ITEM-1","itemData":{"author":[{"dropping-particle":"","family":"Hasyanah","given":"Ha","non-dropping-particle":"","parse-names":false,"suffix":""},{"dropping-particle":"","family":"Alawiyah","given":"Tuti","non-dropping-particle":"","parse-names":false,"suffix":""},{"dropping-particle":"","family":"Nasution","given":"Ramadani","non-dropping-particle":"","parse-names":false,"suffix":""},{"dropping-particle":"","family":"Lestari","given":"Dwita","non-dropping-particle":"","parse-names":false,"suffix":""},{"dropping-particle":"","family":"Lubis","given":"Yani","non-dropping-particle":"","parse-names":false,"suffix":""}],"id":"ITEM-1","issued":{"date-parts":[["2025"]]},"page":"35722-35729","title":"The Role of Psycholinguistic in Understanding Language Learning Errors","type":"article-journal","volume":"9"},"uris":["http://www.mendeley.com/documents/?uuid=1074c0a9-6db9-496a-80f4-94a97c10b2aa"]}],"mendeley":{"formattedCitation":"(Hasyanah et al., 2025)","plainTextFormattedCitation":"(Hasyanah et al., 2025)","previouslyFormattedCitation":"(Hasyanah et al., 2025)"},"properties":{"noteIndex":0},"schema":"https://github.com/citation-style-language/schema/raw/master/csl-citation.json"}</w:instrText>
      </w:r>
      <w:r w:rsidR="00D87B00" w:rsidRPr="00B525D1">
        <w:rPr>
          <w:rFonts w:ascii="Arial" w:hAnsi="Arial" w:cs="Arial"/>
        </w:rPr>
        <w:fldChar w:fldCharType="separate"/>
      </w:r>
      <w:r w:rsidR="00D87B00" w:rsidRPr="00B525D1">
        <w:rPr>
          <w:rFonts w:ascii="Arial" w:hAnsi="Arial" w:cs="Arial"/>
          <w:noProof/>
        </w:rPr>
        <w:t>(Hasyanah et al., 2025)</w:t>
      </w:r>
      <w:r w:rsidR="00D87B00" w:rsidRPr="00B525D1">
        <w:rPr>
          <w:rFonts w:ascii="Arial" w:hAnsi="Arial" w:cs="Arial"/>
        </w:rPr>
        <w:fldChar w:fldCharType="end"/>
      </w:r>
      <w:r w:rsidRPr="00B525D1">
        <w:rPr>
          <w:rFonts w:ascii="Arial" w:hAnsi="Arial" w:cs="Arial"/>
        </w:rPr>
        <w:t xml:space="preserve">. </w:t>
      </w:r>
      <w:r w:rsidR="00983948" w:rsidRPr="00B525D1">
        <w:rPr>
          <w:rFonts w:ascii="Arial" w:hAnsi="Arial" w:cs="Arial"/>
        </w:rPr>
        <w:t>From this view, recurring tense misuse can be interpreted as evidence of an evolving rule system rather than random mistakes, which makes identifying underlying factors pedagogically valuable</w:t>
      </w:r>
      <w:r w:rsidR="009115D7" w:rsidRPr="00B525D1">
        <w:rPr>
          <w:rFonts w:ascii="Arial" w:hAnsi="Arial" w:cs="Arial"/>
        </w:rPr>
        <w:t>. Qualitative classroom-based research commonly uses this developmental lens to connect observable errors with learning conditions such as practice, feedback, and affective states. </w:t>
      </w:r>
      <w:r w:rsidRPr="00B525D1">
        <w:rPr>
          <w:rFonts w:ascii="Arial" w:hAnsi="Arial" w:cs="Arial"/>
        </w:rPr>
        <w:t xml:space="preserve">This view is important because it suggests that tense misuse may not only come from “not knowing,” but also from incomplete development, overgeneralization, limited practice, or persistent patterns influenced by the learner’s first language. In some cases, repeated errors may become relatively stable and difficult to change, which relates to the issue of fossilization </w:t>
      </w:r>
      <w:r w:rsidR="00A404DF" w:rsidRPr="00B525D1">
        <w:rPr>
          <w:rFonts w:ascii="Arial" w:hAnsi="Arial" w:cs="Arial"/>
        </w:rPr>
        <w:fldChar w:fldCharType="begin" w:fldLock="1"/>
      </w:r>
      <w:r w:rsidR="00777952" w:rsidRPr="00B525D1">
        <w:rPr>
          <w:rFonts w:ascii="Arial" w:hAnsi="Arial" w:cs="Arial"/>
        </w:rPr>
        <w:instrText>ADDIN CSL_CITATION {"citationItems":[{"id":"ITEM-1","itemData":{"author":[{"dropping-particle":"","family":"Tzampazi","given":"Stella Giorgou","non-dropping-particle":"","parse-names":false,"suffix":""}],"id":"ITEM-1","issue":"01","issued":{"date-parts":[["2025"]]},"title":"The effects of deductive , inductive , and a combination of both types of grammar instruction in pre-sessional classes in higher education","type":"article-journal","volume":"34"},"uris":["http://www.mendeley.com/documents/?uuid=5cdc469a-4048-461c-b5c1-5d056e3b73b7"]}],"mendeley":{"formattedCitation":"(Tzampazi, 2025)","plainTextFormattedCitation":"(Tzampazi, 2025)","previouslyFormattedCitation":"(Tzampazi, 2025)"},"properties":{"noteIndex":0},"schema":"https://github.com/citation-style-language/schema/raw/master/csl-citation.json"}</w:instrText>
      </w:r>
      <w:r w:rsidR="00A404DF" w:rsidRPr="00B525D1">
        <w:rPr>
          <w:rFonts w:ascii="Arial" w:hAnsi="Arial" w:cs="Arial"/>
        </w:rPr>
        <w:fldChar w:fldCharType="separate"/>
      </w:r>
      <w:r w:rsidR="00A404DF" w:rsidRPr="00B525D1">
        <w:rPr>
          <w:rFonts w:ascii="Arial" w:hAnsi="Arial" w:cs="Arial"/>
          <w:noProof/>
        </w:rPr>
        <w:t>(Tzampazi, 2025)</w:t>
      </w:r>
      <w:r w:rsidR="00A404DF" w:rsidRPr="00B525D1">
        <w:rPr>
          <w:rFonts w:ascii="Arial" w:hAnsi="Arial" w:cs="Arial"/>
        </w:rPr>
        <w:fldChar w:fldCharType="end"/>
      </w:r>
    </w:p>
    <w:p w14:paraId="7F449A5B" w14:textId="280BE21F" w:rsidR="000E50B2" w:rsidRPr="00B525D1" w:rsidRDefault="000E50B2" w:rsidP="00C67A81">
      <w:pPr>
        <w:spacing w:line="360" w:lineRule="auto"/>
        <w:ind w:firstLine="720"/>
        <w:rPr>
          <w:rFonts w:ascii="Arial" w:hAnsi="Arial" w:cs="Arial"/>
        </w:rPr>
      </w:pPr>
      <w:r w:rsidRPr="00B525D1">
        <w:rPr>
          <w:rFonts w:ascii="Arial" w:hAnsi="Arial" w:cs="Arial"/>
        </w:rPr>
        <w:t xml:space="preserve">Tense and aspect are known to be challenging because learners must build strong connections between grammatical forms and their meanings and functions. Learners need to understand not only </w:t>
      </w:r>
      <w:r w:rsidRPr="00B525D1">
        <w:rPr>
          <w:rFonts w:ascii="Arial" w:hAnsi="Arial" w:cs="Arial"/>
          <w:i/>
          <w:iCs/>
        </w:rPr>
        <w:t>how</w:t>
      </w:r>
      <w:r w:rsidRPr="00B525D1">
        <w:rPr>
          <w:rFonts w:ascii="Arial" w:hAnsi="Arial" w:cs="Arial"/>
        </w:rPr>
        <w:t xml:space="preserve"> to form a tense, but also </w:t>
      </w:r>
      <w:r w:rsidRPr="00B525D1">
        <w:rPr>
          <w:rFonts w:ascii="Arial" w:hAnsi="Arial" w:cs="Arial"/>
          <w:i/>
          <w:iCs/>
        </w:rPr>
        <w:t>when</w:t>
      </w:r>
      <w:r w:rsidRPr="00B525D1">
        <w:rPr>
          <w:rFonts w:ascii="Arial" w:hAnsi="Arial" w:cs="Arial"/>
        </w:rPr>
        <w:t xml:space="preserve"> it should </w:t>
      </w:r>
      <w:r w:rsidRPr="00B525D1">
        <w:rPr>
          <w:rFonts w:ascii="Arial" w:hAnsi="Arial" w:cs="Arial"/>
        </w:rPr>
        <w:lastRenderedPageBreak/>
        <w:t xml:space="preserve">be used in context. For example, using simple past to tell a completed event is different from using present tense for routines or present continuous for actions happening now. Research on tense-aspect acquisition emphasizes that the development of accurate tense use depends on meaningful exposure and learners’ ability to notice target forms in input </w:t>
      </w:r>
      <w:r w:rsidR="00E62CA5" w:rsidRPr="00B525D1">
        <w:rPr>
          <w:rFonts w:ascii="Arial" w:hAnsi="Arial" w:cs="Arial"/>
        </w:rPr>
        <w:fldChar w:fldCharType="begin" w:fldLock="1"/>
      </w:r>
      <w:r w:rsidR="009A398B" w:rsidRPr="00B525D1">
        <w:rPr>
          <w:rFonts w:ascii="Arial" w:hAnsi="Arial" w:cs="Arial"/>
        </w:rPr>
        <w:instrText>ADDIN CSL_CITATION {"citationItems":[{"id":"ITEM-1","itemData":{"DOI":"10.1016/j.amper.2024.100185","ISSN":"2215-0390","author":[{"dropping-particle":"","family":"Salaberry","given":"M Rafael","non-dropping-particle":"","parse-names":false,"suffix":""}],"container-title":"Ampersand","id":"ITEM-1","issue":"January","issued":{"date-parts":[["2024"]]},"page":"100185","publisher":"Elsevier Ltd","title":"Thirty years of studying lexical aspect in L2 acquisition : Moving towards an expansive research agenda","type":"article-journal","volume":"13"},"uris":["http://www.mendeley.com/documents/?uuid=01b3e951-0df2-421e-a5cb-8db1407c4456"]}],"mendeley":{"formattedCitation":"(Salaberry, 2024)","plainTextFormattedCitation":"(Salaberry, 2024)","previouslyFormattedCitation":"(Salaberry, 2024)"},"properties":{"noteIndex":0},"schema":"https://github.com/citation-style-language/schema/raw/master/csl-citation.json"}</w:instrText>
      </w:r>
      <w:r w:rsidR="00E62CA5" w:rsidRPr="00B525D1">
        <w:rPr>
          <w:rFonts w:ascii="Arial" w:hAnsi="Arial" w:cs="Arial"/>
        </w:rPr>
        <w:fldChar w:fldCharType="separate"/>
      </w:r>
      <w:r w:rsidR="00E62CA5" w:rsidRPr="00B525D1">
        <w:rPr>
          <w:rFonts w:ascii="Arial" w:hAnsi="Arial" w:cs="Arial"/>
          <w:noProof/>
        </w:rPr>
        <w:t>(Salaberry, 2024)</w:t>
      </w:r>
      <w:r w:rsidR="00E62CA5" w:rsidRPr="00B525D1">
        <w:rPr>
          <w:rFonts w:ascii="Arial" w:hAnsi="Arial" w:cs="Arial"/>
        </w:rPr>
        <w:fldChar w:fldCharType="end"/>
      </w:r>
      <w:r w:rsidR="00E62CA5" w:rsidRPr="00B525D1">
        <w:rPr>
          <w:rFonts w:ascii="Arial" w:hAnsi="Arial" w:cs="Arial"/>
        </w:rPr>
        <w:t>.</w:t>
      </w:r>
      <w:r w:rsidRPr="00B525D1">
        <w:rPr>
          <w:rFonts w:ascii="Arial" w:hAnsi="Arial" w:cs="Arial"/>
        </w:rPr>
        <w:t xml:space="preserve"> </w:t>
      </w:r>
      <w:r w:rsidR="00816AA7" w:rsidRPr="00B525D1">
        <w:rPr>
          <w:rFonts w:ascii="Arial" w:hAnsi="Arial" w:cs="Arial"/>
        </w:rPr>
        <w:t xml:space="preserve">Noticing becomes crucial in communicative contexts because learners may otherwise focus mainly on meaning, leaving tense morphology under-processed. </w:t>
      </w:r>
      <w:r w:rsidR="002C3E74" w:rsidRPr="00B525D1">
        <w:rPr>
          <w:rFonts w:ascii="Arial" w:hAnsi="Arial" w:cs="Arial"/>
        </w:rPr>
        <w:t>In intensive speaking environments, insufficient noticing can lead learners to rely on simpler temporal strategies (e.g., adverbs like </w:t>
      </w:r>
      <w:r w:rsidR="002C3E74" w:rsidRPr="00B525D1">
        <w:rPr>
          <w:rFonts w:ascii="Arial" w:hAnsi="Arial" w:cs="Arial"/>
          <w:i/>
          <w:iCs/>
        </w:rPr>
        <w:t>yesterday</w:t>
      </w:r>
      <w:r w:rsidR="002C3E74" w:rsidRPr="00B525D1">
        <w:rPr>
          <w:rFonts w:ascii="Arial" w:hAnsi="Arial" w:cs="Arial"/>
        </w:rPr>
        <w:t>) while leaving verb morphology unchanged, which is consistent with cross-linguistic influence patterns discussed in EFL contexts. </w:t>
      </w:r>
      <w:r w:rsidRPr="00B525D1">
        <w:rPr>
          <w:rFonts w:ascii="Arial" w:hAnsi="Arial" w:cs="Arial"/>
        </w:rPr>
        <w:t>When learners do not notice tense forms clearly, or when they receive limited input and limited opportunities to use tense in speaking, their tense system may develop slowly and inconsistently.</w:t>
      </w:r>
      <w:r w:rsidR="0073248D" w:rsidRPr="00B525D1">
        <w:rPr>
          <w:rFonts w:ascii="Arial" w:hAnsi="Arial" w:cs="Arial"/>
        </w:rPr>
        <w:t xml:space="preserve"> However, if learners repeatedly rely on their first language (L1) features without appropriate correction, these incorrect forms can become deeply ingrained, leading to a learning plateau known as fossilization </w:t>
      </w:r>
      <w:r w:rsidR="00DA48C1" w:rsidRPr="00B525D1">
        <w:rPr>
          <w:rFonts w:ascii="Arial" w:hAnsi="Arial" w:cs="Arial"/>
        </w:rPr>
        <w:fldChar w:fldCharType="begin" w:fldLock="1"/>
      </w:r>
      <w:r w:rsidR="00EA7D2A">
        <w:rPr>
          <w:rFonts w:ascii="Arial" w:hAnsi="Arial" w:cs="Arial"/>
        </w:rPr>
        <w:instrText>ADDIN CSL_CITATION {"citationItems":[{"id":"ITEM-1","itemData":{"DOI":"10.70728/tech.v2.i08.025","author":[{"dropping-particle":"","family":"Bakhtiyarovich","given":"Nazarov Bekhzod","non-dropping-particle":"","parse-names":false,"suffix":""}],"id":"ITEM-1","issue":"08","issued":{"date-parts":[["2025"]]},"page":"69-72","title":"COGNITIVE AND TECHNOLOGICAL STRATEGIES FOR DEVELOPING SPEAKING FLUENCY IN EFL LEARNERS","type":"article-journal","volume":"02"},"uris":["http://www.mendeley.com/documents/?uuid=4dee332d-7c4b-4dab-968d-69f2a580a5b6"]}],"mendeley":{"formattedCitation":"(Bakhtiyarovich, 2025)","plainTextFormattedCitation":"(Bakhtiyarovich, 2025)","previouslyFormattedCitation":"(Bakhtiyarovich, 2025)"},"properties":{"noteIndex":0},"schema":"https://github.com/citation-style-language/schema/raw/master/csl-citation.json"}</w:instrText>
      </w:r>
      <w:r w:rsidR="00DA48C1" w:rsidRPr="00B525D1">
        <w:rPr>
          <w:rFonts w:ascii="Arial" w:hAnsi="Arial" w:cs="Arial"/>
        </w:rPr>
        <w:fldChar w:fldCharType="separate"/>
      </w:r>
      <w:r w:rsidR="00DA48C1" w:rsidRPr="00B525D1">
        <w:rPr>
          <w:rFonts w:ascii="Arial" w:hAnsi="Arial" w:cs="Arial"/>
          <w:noProof/>
        </w:rPr>
        <w:t>(Bakhtiyarovich, 2025)</w:t>
      </w:r>
      <w:r w:rsidR="00DA48C1" w:rsidRPr="00B525D1">
        <w:rPr>
          <w:rFonts w:ascii="Arial" w:hAnsi="Arial" w:cs="Arial"/>
        </w:rPr>
        <w:fldChar w:fldCharType="end"/>
      </w:r>
      <w:r w:rsidR="00C67A81">
        <w:rPr>
          <w:rFonts w:ascii="Arial" w:hAnsi="Arial" w:cs="Arial"/>
        </w:rPr>
        <w:t>.</w:t>
      </w:r>
    </w:p>
    <w:p w14:paraId="05E2841B" w14:textId="764D7DD1" w:rsidR="000E50B2" w:rsidRPr="00B525D1" w:rsidRDefault="000E50B2" w:rsidP="00C67A81">
      <w:pPr>
        <w:spacing w:line="360" w:lineRule="auto"/>
        <w:ind w:firstLine="720"/>
        <w:rPr>
          <w:rFonts w:ascii="Arial" w:hAnsi="Arial" w:cs="Arial"/>
        </w:rPr>
      </w:pPr>
      <w:r w:rsidRPr="00B525D1">
        <w:rPr>
          <w:rFonts w:ascii="Arial" w:hAnsi="Arial" w:cs="Arial"/>
        </w:rPr>
        <w:t xml:space="preserve">Instructional factors can also contribute to the gap between tense knowledge and tense use. In many learning contexts, grammar teaching focuses on controlled practice such as fill-in-the-blank exercises, sentence transformation, or multiple-choice tasks. While these activities may help learners recognize forms, they do not always prepare learners for real-time use in speaking, where grammar must be produced quickly and accurately inside meaningful communication. </w:t>
      </w:r>
      <w:r w:rsidR="00CB2E74" w:rsidRPr="00B525D1">
        <w:rPr>
          <w:rFonts w:ascii="Arial" w:hAnsi="Arial" w:cs="Arial"/>
        </w:rPr>
        <w:t>T</w:t>
      </w:r>
      <w:r w:rsidR="005C6364" w:rsidRPr="00B525D1">
        <w:rPr>
          <w:rFonts w:ascii="Arial" w:hAnsi="Arial" w:cs="Arial"/>
        </w:rPr>
        <w:t>his gap is often addressed through classroom interactional approaches that integrate brief attention to form within communicative practice and use feedback to prompt learner noticing and repair.</w:t>
      </w:r>
      <w:r w:rsidR="00952BBF" w:rsidRPr="00B525D1">
        <w:rPr>
          <w:rFonts w:ascii="Arial" w:hAnsi="Arial" w:cs="Arial"/>
        </w:rPr>
        <w:t xml:space="preserve"> </w:t>
      </w:r>
      <w:r w:rsidRPr="00B525D1">
        <w:rPr>
          <w:rFonts w:ascii="Arial" w:hAnsi="Arial" w:cs="Arial"/>
        </w:rPr>
        <w:t xml:space="preserve">To address this issue, language teaching methodology highlights </w:t>
      </w:r>
      <w:r w:rsidRPr="00B525D1">
        <w:rPr>
          <w:rFonts w:ascii="Arial" w:hAnsi="Arial" w:cs="Arial"/>
          <w:i/>
          <w:iCs/>
        </w:rPr>
        <w:t>focus on form</w:t>
      </w:r>
      <w:r w:rsidRPr="00B525D1">
        <w:rPr>
          <w:rFonts w:ascii="Arial" w:hAnsi="Arial" w:cs="Arial"/>
        </w:rPr>
        <w:t xml:space="preserve">, which involves briefly drawing attention to grammar within communicative activities rather than separating grammar completely from communication </w:t>
      </w:r>
      <w:r w:rsidR="009A398B" w:rsidRPr="00B525D1">
        <w:rPr>
          <w:rFonts w:ascii="Arial" w:hAnsi="Arial" w:cs="Arial"/>
        </w:rPr>
        <w:fldChar w:fldCharType="begin" w:fldLock="1"/>
      </w:r>
      <w:r w:rsidR="00750F13" w:rsidRPr="00B525D1">
        <w:rPr>
          <w:rFonts w:ascii="Arial" w:hAnsi="Arial" w:cs="Arial"/>
        </w:rPr>
        <w:instrText>ADDIN CSL_CITATION {"citationItems":[{"id":"ITEM-1","itemData":{"author":[{"dropping-particle":"","family":"Ellis","given":"Rod","non-dropping-particle":"","parse-names":false,"suffix":""}],"id":"ITEM-1","issue":"2","issued":{"date-parts":[["2015"]]},"page":"1-12","title":"language teaching","type":"article-journal","volume":"1"},"uris":["http://www.mendeley.com/documents/?uuid=93390bb5-fb77-43c3-8460-d7d90fb7472e"]}],"mendeley":{"formattedCitation":"(Ellis, 2015)","plainTextFormattedCitation":"(Ellis, 2015)","previouslyFormattedCitation":"(Ellis, 2015)"},"properties":{"noteIndex":0},"schema":"https://github.com/citation-style-language/schema/raw/master/csl-citation.json"}</w:instrText>
      </w:r>
      <w:r w:rsidR="009A398B" w:rsidRPr="00B525D1">
        <w:rPr>
          <w:rFonts w:ascii="Arial" w:hAnsi="Arial" w:cs="Arial"/>
        </w:rPr>
        <w:fldChar w:fldCharType="separate"/>
      </w:r>
      <w:r w:rsidR="009A398B" w:rsidRPr="00B525D1">
        <w:rPr>
          <w:rFonts w:ascii="Arial" w:hAnsi="Arial" w:cs="Arial"/>
          <w:noProof/>
        </w:rPr>
        <w:t>(Ellis, 2015)</w:t>
      </w:r>
      <w:r w:rsidR="009A398B" w:rsidRPr="00B525D1">
        <w:rPr>
          <w:rFonts w:ascii="Arial" w:hAnsi="Arial" w:cs="Arial"/>
        </w:rPr>
        <w:fldChar w:fldCharType="end"/>
      </w:r>
      <w:r w:rsidR="009A398B" w:rsidRPr="00B525D1">
        <w:rPr>
          <w:rFonts w:ascii="Arial" w:hAnsi="Arial" w:cs="Arial"/>
        </w:rPr>
        <w:t xml:space="preserve">. </w:t>
      </w:r>
      <w:r w:rsidRPr="00B525D1">
        <w:rPr>
          <w:rFonts w:ascii="Arial" w:hAnsi="Arial" w:cs="Arial"/>
        </w:rPr>
        <w:t>This approach is relevant for tense learning because it allows learners to practice speaking meaningfully while still receiving guidance and correction related to tense.</w:t>
      </w:r>
      <w:r w:rsidR="00CD2888" w:rsidRPr="00B525D1">
        <w:rPr>
          <w:rFonts w:ascii="Arial" w:hAnsi="Arial" w:cs="Arial"/>
        </w:rPr>
        <w:t xml:space="preserve"> In speaking lessons specifically, oral corrective feedback is frequently </w:t>
      </w:r>
      <w:r w:rsidR="00CD2888" w:rsidRPr="00B525D1">
        <w:rPr>
          <w:rFonts w:ascii="Arial" w:hAnsi="Arial" w:cs="Arial"/>
        </w:rPr>
        <w:lastRenderedPageBreak/>
        <w:t>discussed as one mechanism to support this integration, because it can occur at the moment an error becomes communicatively relevant</w:t>
      </w:r>
      <w:r w:rsidR="00EA7D2A">
        <w:rPr>
          <w:rFonts w:ascii="Arial" w:hAnsi="Arial" w:cs="Arial"/>
        </w:rPr>
        <w:t xml:space="preserve"> </w:t>
      </w:r>
      <w:r w:rsidR="00EA7D2A">
        <w:rPr>
          <w:rFonts w:ascii="Arial" w:hAnsi="Arial" w:cs="Arial"/>
        </w:rPr>
        <w:fldChar w:fldCharType="begin" w:fldLock="1"/>
      </w:r>
      <w:r w:rsidR="00EA7D2A">
        <w:rPr>
          <w:rFonts w:ascii="Arial" w:hAnsi="Arial" w:cs="Arial"/>
        </w:rPr>
        <w:instrText>ADDIN CSL_CITATION {"citationItems":[{"id":"ITEM-1","itemData":{"DOI":"https://doi.org/10.64325/6epah728","author":[{"dropping-particle":"","family":"Merlin","given":"Jonathan Miguel Quintero","non-dropping-particle":"","parse-names":false,"suffix":""}],"id":"ITEM-1","issue":"Vol. 2 No. 2 (2025)","issued":{"date-parts":[["0"]]},"title":"Oral Corrective Feedback Strategies and Their Influence on Speech Fluency and Accuracy in English as a Foreign Language (EFL) Classes in University Contexts","type":"article-journal"},"uris":["http://www.mendeley.com/documents/?uuid=83d11282-3891-4c2b-9c6c-fc8aab4b6d59"]}],"mendeley":{"formattedCitation":"(Merlin, n.d.)","plainTextFormattedCitation":"(Merlin, n.d.)"},"properties":{"noteIndex":0},"schema":"https://github.com/citation-style-language/schema/raw/master/csl-citation.json"}</w:instrText>
      </w:r>
      <w:r w:rsidR="00EA7D2A">
        <w:rPr>
          <w:rFonts w:ascii="Arial" w:hAnsi="Arial" w:cs="Arial"/>
        </w:rPr>
        <w:fldChar w:fldCharType="separate"/>
      </w:r>
      <w:r w:rsidR="00EA7D2A" w:rsidRPr="00EA7D2A">
        <w:rPr>
          <w:rFonts w:ascii="Arial" w:hAnsi="Arial" w:cs="Arial"/>
          <w:noProof/>
        </w:rPr>
        <w:t>(Merlin, n.d.)</w:t>
      </w:r>
      <w:r w:rsidR="00EA7D2A">
        <w:rPr>
          <w:rFonts w:ascii="Arial" w:hAnsi="Arial" w:cs="Arial"/>
        </w:rPr>
        <w:fldChar w:fldCharType="end"/>
      </w:r>
      <w:r w:rsidR="00CD2888" w:rsidRPr="00B525D1">
        <w:rPr>
          <w:rFonts w:ascii="Arial" w:hAnsi="Arial" w:cs="Arial"/>
        </w:rPr>
        <w:t>.</w:t>
      </w:r>
    </w:p>
    <w:p w14:paraId="5DF2BAC7" w14:textId="4E9110A5" w:rsidR="000E50B2" w:rsidRPr="00B525D1" w:rsidRDefault="000E50B2" w:rsidP="00C67A81">
      <w:pPr>
        <w:spacing w:line="360" w:lineRule="auto"/>
        <w:ind w:firstLine="720"/>
        <w:rPr>
          <w:rFonts w:ascii="Arial" w:hAnsi="Arial" w:cs="Arial"/>
        </w:rPr>
      </w:pPr>
      <w:r w:rsidRPr="00B525D1">
        <w:rPr>
          <w:rFonts w:ascii="Arial" w:hAnsi="Arial" w:cs="Arial"/>
        </w:rPr>
        <w:t>Several learner-related factors may influence tense misuse during speaking. A common factor is limited functional grammar mastery. Students may know tense formulas but still struggle to retrieve and apply them automatically</w:t>
      </w:r>
      <w:r w:rsidR="002923DD" w:rsidRPr="00B525D1">
        <w:rPr>
          <w:rFonts w:ascii="Arial" w:hAnsi="Arial" w:cs="Arial"/>
        </w:rPr>
        <w:t xml:space="preserve"> </w:t>
      </w:r>
      <w:r w:rsidR="00642094" w:rsidRPr="00B525D1">
        <w:rPr>
          <w:rFonts w:ascii="Arial" w:hAnsi="Arial" w:cs="Arial"/>
        </w:rPr>
        <w:fldChar w:fldCharType="begin" w:fldLock="1"/>
      </w:r>
      <w:r w:rsidR="002D43E7" w:rsidRPr="00B525D1">
        <w:rPr>
          <w:rFonts w:ascii="Arial" w:hAnsi="Arial" w:cs="Arial"/>
        </w:rPr>
        <w:instrText>ADDIN CSL_CITATION {"citationItems":[{"id":"ITEM-1","itemData":{"author":[{"dropping-particle":"","family":"Nasir","given":"Yusuf Muhammad","non-dropping-particle":"","parse-names":false,"suffix":""},{"dropping-particle":"","family":"Badaru","given":"Abdulwahab","non-dropping-particle":"","parse-names":false,"suffix":""}],"id":"ITEM-1","issue":"8","issued":{"date-parts":[["2025"]]},"page":"169-191","title":"International Journal of Library Science &amp; Education Research Published by Cambridge Research and Publications","type":"article-journal","volume":"8"},"uris":["http://www.mendeley.com/documents/?uuid=d8d2e478-c51b-40fa-b2cf-2c88bdc39574"]}],"mendeley":{"formattedCitation":"(Nasir &amp; Badaru, 2025)","plainTextFormattedCitation":"(Nasir &amp; Badaru, 2025)","previouslyFormattedCitation":"(Nasir &amp; Badaru, 2025)"},"properties":{"noteIndex":0},"schema":"https://github.com/citation-style-language/schema/raw/master/csl-citation.json"}</w:instrText>
      </w:r>
      <w:r w:rsidR="00642094" w:rsidRPr="00B525D1">
        <w:rPr>
          <w:rFonts w:ascii="Arial" w:hAnsi="Arial" w:cs="Arial"/>
        </w:rPr>
        <w:fldChar w:fldCharType="separate"/>
      </w:r>
      <w:r w:rsidR="00642094" w:rsidRPr="00B525D1">
        <w:rPr>
          <w:rFonts w:ascii="Arial" w:hAnsi="Arial" w:cs="Arial"/>
          <w:noProof/>
        </w:rPr>
        <w:t>(Nasir &amp; Badaru, 2025)</w:t>
      </w:r>
      <w:r w:rsidR="00642094" w:rsidRPr="00B525D1">
        <w:rPr>
          <w:rFonts w:ascii="Arial" w:hAnsi="Arial" w:cs="Arial"/>
        </w:rPr>
        <w:fldChar w:fldCharType="end"/>
      </w:r>
      <w:r w:rsidRPr="00B525D1">
        <w:rPr>
          <w:rFonts w:ascii="Arial" w:hAnsi="Arial" w:cs="Arial"/>
        </w:rPr>
        <w:t xml:space="preserve">. From a skill-learning perspective, grammar knowledge needs repeated practice and gradual </w:t>
      </w:r>
      <w:proofErr w:type="spellStart"/>
      <w:r w:rsidRPr="00B525D1">
        <w:rPr>
          <w:rFonts w:ascii="Arial" w:hAnsi="Arial" w:cs="Arial"/>
        </w:rPr>
        <w:t>automatisation</w:t>
      </w:r>
      <w:proofErr w:type="spellEnd"/>
      <w:r w:rsidRPr="00B525D1">
        <w:rPr>
          <w:rFonts w:ascii="Arial" w:hAnsi="Arial" w:cs="Arial"/>
        </w:rPr>
        <w:t xml:space="preserve"> before it can be used fluently under time pressure</w:t>
      </w:r>
      <w:r w:rsidR="00294ADA" w:rsidRPr="00B525D1">
        <w:rPr>
          <w:rFonts w:ascii="Arial" w:hAnsi="Arial" w:cs="Arial"/>
        </w:rPr>
        <w:t xml:space="preserve"> </w:t>
      </w:r>
      <w:r w:rsidR="00750F13" w:rsidRPr="00B525D1">
        <w:rPr>
          <w:rFonts w:ascii="Arial" w:hAnsi="Arial" w:cs="Arial"/>
        </w:rPr>
        <w:fldChar w:fldCharType="begin" w:fldLock="1"/>
      </w:r>
      <w:r w:rsidR="00C540CE" w:rsidRPr="00B525D1">
        <w:rPr>
          <w:rFonts w:ascii="Arial" w:hAnsi="Arial" w:cs="Arial"/>
        </w:rPr>
        <w:instrText>ADDIN CSL_CITATION {"citationItems":[{"id":"ITEM-1","itemData":{"DOI":"10.1017/S026144482500059X","author":[{"dropping-particle":"","family":"Suzuki","given":"Yuichi","non-dropping-particle":"","parse-names":false,"suffix":""},{"dropping-particle":"","family":"Maie","given":"Ryo","non-dropping-particle":"","parse-names":false,"suffix":""},{"dropping-particle":"","family":"Hui","given":"Bronson","non-dropping-particle":"","parse-names":false,"suffix":""}],"id":"ITEM-1","issue":"2025","issued":{"date-parts":[["2026"]]},"page":"1-20","title":"Research timeline : Automatization in second language learning","type":"article-journal"},"uris":["http://www.mendeley.com/documents/?uuid=a50a9600-e705-4cd1-af23-62b72333bae7"]}],"mendeley":{"formattedCitation":"(Suzuki et al., 2026)","plainTextFormattedCitation":"(Suzuki et al., 2026)","previouslyFormattedCitation":"(Suzuki et al., 2026)"},"properties":{"noteIndex":0},"schema":"https://github.com/citation-style-language/schema/raw/master/csl-citation.json"}</w:instrText>
      </w:r>
      <w:r w:rsidR="00750F13" w:rsidRPr="00B525D1">
        <w:rPr>
          <w:rFonts w:ascii="Arial" w:hAnsi="Arial" w:cs="Arial"/>
        </w:rPr>
        <w:fldChar w:fldCharType="separate"/>
      </w:r>
      <w:r w:rsidR="00750F13" w:rsidRPr="00B525D1">
        <w:rPr>
          <w:rFonts w:ascii="Arial" w:hAnsi="Arial" w:cs="Arial"/>
          <w:noProof/>
        </w:rPr>
        <w:t>(Suzuki et al., 2026)</w:t>
      </w:r>
      <w:r w:rsidR="00750F13" w:rsidRPr="00B525D1">
        <w:rPr>
          <w:rFonts w:ascii="Arial" w:hAnsi="Arial" w:cs="Arial"/>
        </w:rPr>
        <w:fldChar w:fldCharType="end"/>
      </w:r>
      <w:r w:rsidRPr="00B525D1">
        <w:rPr>
          <w:rFonts w:ascii="Arial" w:hAnsi="Arial" w:cs="Arial"/>
        </w:rPr>
        <w:t>.</w:t>
      </w:r>
      <w:r w:rsidR="00CD2888" w:rsidRPr="00B525D1">
        <w:rPr>
          <w:rFonts w:ascii="Arial" w:hAnsi="Arial" w:cs="Arial"/>
          <w:color w:val="404040"/>
          <w:shd w:val="clear" w:color="auto" w:fill="F5F5F5"/>
        </w:rPr>
        <w:t xml:space="preserve"> </w:t>
      </w:r>
      <w:r w:rsidR="00CD2888" w:rsidRPr="00B525D1">
        <w:rPr>
          <w:rFonts w:ascii="Arial" w:hAnsi="Arial" w:cs="Arial"/>
        </w:rPr>
        <w:t> Recent classroom research on feedback and uptake implies that opportunities to produce output and receive timely responses can support the transition from controlled knowledge toward more stable performance in interaction. </w:t>
      </w:r>
      <w:r w:rsidRPr="00B525D1">
        <w:rPr>
          <w:rFonts w:ascii="Arial" w:hAnsi="Arial" w:cs="Arial"/>
        </w:rPr>
        <w:t xml:space="preserve"> Another factor is limited speaking practice and limited feedback. Opportunities to produce oral output can push learners to recognize gaps between what they intend to say and what they can say, while feedback can help learners repair errors and refine their interlanguage system</w:t>
      </w:r>
      <w:r w:rsidR="00294ADA" w:rsidRPr="00B525D1">
        <w:rPr>
          <w:rFonts w:ascii="Arial" w:hAnsi="Arial" w:cs="Arial"/>
        </w:rPr>
        <w:t xml:space="preserve"> </w:t>
      </w:r>
      <w:r w:rsidR="00C540CE" w:rsidRPr="00B525D1">
        <w:rPr>
          <w:rFonts w:ascii="Arial" w:hAnsi="Arial" w:cs="Arial"/>
        </w:rPr>
        <w:fldChar w:fldCharType="begin" w:fldLock="1"/>
      </w:r>
      <w:r w:rsidR="002D6DDB" w:rsidRPr="00B525D1">
        <w:rPr>
          <w:rFonts w:ascii="Arial" w:hAnsi="Arial" w:cs="Arial"/>
        </w:rPr>
        <w:instrText>ADDIN CSL_CITATION {"citationItems":[{"id":"ITEM-1","itemData":{"DOI":"10.1017/S026144482500059X","author":[{"dropping-particle":"","family":"Suzuki","given":"Yuichi","non-dropping-particle":"","parse-names":false,"suffix":""},{"dropping-particle":"","family":"Maie","given":"Ryo","non-dropping-particle":"","parse-names":false,"suffix":""},{"dropping-particle":"","family":"Hui","given":"Bronson","non-dropping-particle":"","parse-names":false,"suffix":""}],"id":"ITEM-1","issue":"2025","issued":{"date-parts":[["2026"]]},"page":"1-20","title":"Research timeline : Automatization in second language learning","type":"article-journal"},"uris":["http://www.mendeley.com/documents/?uuid=a50a9600-e705-4cd1-af23-62b72333bae7"]}],"mendeley":{"formattedCitation":"(Suzuki et al., 2026)","plainTextFormattedCitation":"(Suzuki et al., 2026)","previouslyFormattedCitation":"(Suzuki et al., 2026)"},"properties":{"noteIndex":0},"schema":"https://github.com/citation-style-language/schema/raw/master/csl-citation.json"}</w:instrText>
      </w:r>
      <w:r w:rsidR="00C540CE" w:rsidRPr="00B525D1">
        <w:rPr>
          <w:rFonts w:ascii="Arial" w:hAnsi="Arial" w:cs="Arial"/>
        </w:rPr>
        <w:fldChar w:fldCharType="separate"/>
      </w:r>
      <w:r w:rsidR="00C540CE" w:rsidRPr="00B525D1">
        <w:rPr>
          <w:rFonts w:ascii="Arial" w:hAnsi="Arial" w:cs="Arial"/>
          <w:noProof/>
        </w:rPr>
        <w:t>(Suzuki et al., 2026)</w:t>
      </w:r>
      <w:r w:rsidR="00C540CE" w:rsidRPr="00B525D1">
        <w:rPr>
          <w:rFonts w:ascii="Arial" w:hAnsi="Arial" w:cs="Arial"/>
        </w:rPr>
        <w:fldChar w:fldCharType="end"/>
      </w:r>
      <w:r w:rsidRPr="00B525D1">
        <w:rPr>
          <w:rFonts w:ascii="Arial" w:hAnsi="Arial" w:cs="Arial"/>
        </w:rPr>
        <w:t>. Without sufficient speaking practice and feedback, learners may repeat the same patterns, including tense misuse, and these patterns can become habitual.</w:t>
      </w:r>
      <w:r w:rsidR="005D630F" w:rsidRPr="00B525D1">
        <w:rPr>
          <w:rFonts w:ascii="Arial" w:hAnsi="Arial" w:cs="Arial"/>
        </w:rPr>
        <w:t xml:space="preserve"> Studies on oral corrective feedback and learner uptake indicate that the type and timing of feedback can shape whether learners notice the error and attempt repair, which is relevant for tense because tense marking is often low-salience and easily missed during fast interaction.</w:t>
      </w:r>
    </w:p>
    <w:p w14:paraId="43F43C42" w14:textId="5A3D0527" w:rsidR="000E50B2" w:rsidRPr="00B525D1" w:rsidRDefault="000E50B2" w:rsidP="00C67A81">
      <w:pPr>
        <w:spacing w:line="360" w:lineRule="auto"/>
        <w:ind w:firstLine="720"/>
        <w:rPr>
          <w:rFonts w:ascii="Arial" w:hAnsi="Arial" w:cs="Arial"/>
        </w:rPr>
      </w:pPr>
      <w:r w:rsidRPr="00B525D1">
        <w:rPr>
          <w:rFonts w:ascii="Arial" w:hAnsi="Arial" w:cs="Arial"/>
        </w:rPr>
        <w:t>First-language influence is also an important factor. Indonesian does not require verb inflection to mark tense in the same way English does. Time reference in Indonesian is often indicated through time adverbs or context (e.g., “</w:t>
      </w:r>
      <w:proofErr w:type="spellStart"/>
      <w:r w:rsidRPr="00B525D1">
        <w:rPr>
          <w:rFonts w:ascii="Arial" w:hAnsi="Arial" w:cs="Arial"/>
        </w:rPr>
        <w:t>kemarin</w:t>
      </w:r>
      <w:proofErr w:type="spellEnd"/>
      <w:r w:rsidRPr="00B525D1">
        <w:rPr>
          <w:rFonts w:ascii="Arial" w:hAnsi="Arial" w:cs="Arial"/>
        </w:rPr>
        <w:t>,” “</w:t>
      </w:r>
      <w:proofErr w:type="spellStart"/>
      <w:r w:rsidRPr="00B525D1">
        <w:rPr>
          <w:rFonts w:ascii="Arial" w:hAnsi="Arial" w:cs="Arial"/>
        </w:rPr>
        <w:t>sekarang</w:t>
      </w:r>
      <w:proofErr w:type="spellEnd"/>
      <w:r w:rsidRPr="00B525D1">
        <w:rPr>
          <w:rFonts w:ascii="Arial" w:hAnsi="Arial" w:cs="Arial"/>
        </w:rPr>
        <w:t>,” “</w:t>
      </w:r>
      <w:proofErr w:type="spellStart"/>
      <w:r w:rsidRPr="00B525D1">
        <w:rPr>
          <w:rFonts w:ascii="Arial" w:hAnsi="Arial" w:cs="Arial"/>
        </w:rPr>
        <w:t>besok</w:t>
      </w:r>
      <w:proofErr w:type="spellEnd"/>
      <w:r w:rsidRPr="00B525D1">
        <w:rPr>
          <w:rFonts w:ascii="Arial" w:hAnsi="Arial" w:cs="Arial"/>
        </w:rPr>
        <w:t>”) without changing the verb form</w:t>
      </w:r>
      <w:r w:rsidR="00335551" w:rsidRPr="00B525D1">
        <w:rPr>
          <w:rFonts w:ascii="Arial" w:hAnsi="Arial" w:cs="Arial"/>
        </w:rPr>
        <w:t xml:space="preserve"> </w:t>
      </w:r>
      <w:r w:rsidR="00335551" w:rsidRPr="00B525D1">
        <w:rPr>
          <w:rFonts w:ascii="Arial" w:hAnsi="Arial" w:cs="Arial"/>
        </w:rPr>
        <w:fldChar w:fldCharType="begin" w:fldLock="1"/>
      </w:r>
      <w:r w:rsidR="00EC6482" w:rsidRPr="00B525D1">
        <w:rPr>
          <w:rFonts w:ascii="Arial" w:hAnsi="Arial" w:cs="Arial"/>
        </w:rPr>
        <w:instrText>ADDIN CSL_CITATION {"citationItems":[{"id":"ITEM-1","itemData":{"author":[{"dropping-particle":"","family":"Ismahani","given":"Siti","non-dropping-particle":"","parse-names":false,"suffix":""},{"dropping-particle":"","family":"Nasution","given":"Sofiyani","non-dropping-particle":"","parse-names":false,"suffix":""},{"dropping-particle":"","family":"Ummi","given":"Rizky","non-dropping-particle":"","parse-names":false,"suffix":""},{"dropping-particle":"","family":"Nasution","given":"Thahira","non-dropping-particle":"","parse-names":false,"suffix":""}],"id":"ITEM-1","issue":"1957","issued":{"date-parts":[["2024"]]},"title":"Contrastive and Error Analysis of Indonesian Learners ’ Tense and Aspect Usage in English Writing","type":"article-journal"},"uris":["http://www.mendeley.com/documents/?uuid=d8070fb1-45ee-4050-a1b6-ed9f23ae4357"]}],"mendeley":{"formattedCitation":"(Ismahani et al., 2024)","plainTextFormattedCitation":"(Ismahani et al., 2024)","previouslyFormattedCitation":"(Ismahani et al., 2024)"},"properties":{"noteIndex":0},"schema":"https://github.com/citation-style-language/schema/raw/master/csl-citation.json"}</w:instrText>
      </w:r>
      <w:r w:rsidR="00335551" w:rsidRPr="00B525D1">
        <w:rPr>
          <w:rFonts w:ascii="Arial" w:hAnsi="Arial" w:cs="Arial"/>
        </w:rPr>
        <w:fldChar w:fldCharType="separate"/>
      </w:r>
      <w:r w:rsidR="00335551" w:rsidRPr="00B525D1">
        <w:rPr>
          <w:rFonts w:ascii="Arial" w:hAnsi="Arial" w:cs="Arial"/>
          <w:noProof/>
        </w:rPr>
        <w:t>(Ismahani et al., 2024)</w:t>
      </w:r>
      <w:r w:rsidR="00335551" w:rsidRPr="00B525D1">
        <w:rPr>
          <w:rFonts w:ascii="Arial" w:hAnsi="Arial" w:cs="Arial"/>
        </w:rPr>
        <w:fldChar w:fldCharType="end"/>
      </w:r>
      <w:r w:rsidRPr="00B525D1">
        <w:rPr>
          <w:rFonts w:ascii="Arial" w:hAnsi="Arial" w:cs="Arial"/>
        </w:rPr>
        <w:t xml:space="preserve">. Because of this difference, Indonesian learners may omit tense markers such as -ed or may use time adverbs without adjusting the verb form when speaking English. This kind of cross-linguistic influence can be stronger in speaking because learners have less time to consciously monitor grammar and may rely more on familiar L1 patterns </w:t>
      </w:r>
      <w:r w:rsidR="002D6DDB" w:rsidRPr="00B525D1">
        <w:rPr>
          <w:rFonts w:ascii="Arial" w:hAnsi="Arial" w:cs="Arial"/>
        </w:rPr>
        <w:fldChar w:fldCharType="begin" w:fldLock="1"/>
      </w:r>
      <w:r w:rsidR="00A404DF" w:rsidRPr="00B525D1">
        <w:rPr>
          <w:rFonts w:ascii="Arial" w:hAnsi="Arial" w:cs="Arial"/>
        </w:rPr>
        <w:instrText>ADDIN CSL_CITATION {"citationItems":[{"id":"ITEM-1","itemData":{"DOI":"10.1177/21582440241289985","author":[{"dropping-particle":"","family":"Albarqi","given":"Ghadah","non-dropping-particle":"","parse-names":false,"suffix":""}],"id":"ITEM-1","issue":"December","issued":{"date-parts":[["2024"]]},"page":"1-17","title":"Self-Monitoring Foci , Speed , and the Relationship with Pausing Behavior in an EFL Context","type":"article-journal"},"uris":["http://www.mendeley.com/documents/?uuid=f382523f-9e03-425d-a365-b7d812aef4bb"]}],"mendeley":{"formattedCitation":"(Albarqi, 2024)","plainTextFormattedCitation":"(Albarqi, 2024)","previouslyFormattedCitation":"(Albarqi, 2024)"},"properties":{"noteIndex":0},"schema":"https://github.com/citation-style-language/schema/raw/master/csl-citation.json"}</w:instrText>
      </w:r>
      <w:r w:rsidR="002D6DDB" w:rsidRPr="00B525D1">
        <w:rPr>
          <w:rFonts w:ascii="Arial" w:hAnsi="Arial" w:cs="Arial"/>
        </w:rPr>
        <w:fldChar w:fldCharType="separate"/>
      </w:r>
      <w:r w:rsidR="002D6DDB" w:rsidRPr="00B525D1">
        <w:rPr>
          <w:rFonts w:ascii="Arial" w:hAnsi="Arial" w:cs="Arial"/>
          <w:noProof/>
        </w:rPr>
        <w:t>(Albarqi, 2024)</w:t>
      </w:r>
      <w:r w:rsidR="002D6DDB" w:rsidRPr="00B525D1">
        <w:rPr>
          <w:rFonts w:ascii="Arial" w:hAnsi="Arial" w:cs="Arial"/>
        </w:rPr>
        <w:fldChar w:fldCharType="end"/>
      </w:r>
      <w:r w:rsidRPr="00B525D1">
        <w:rPr>
          <w:rFonts w:ascii="Arial" w:hAnsi="Arial" w:cs="Arial"/>
        </w:rPr>
        <w:t>.</w:t>
      </w:r>
      <w:r w:rsidR="00462254" w:rsidRPr="00B525D1">
        <w:rPr>
          <w:rFonts w:ascii="Arial" w:eastAsia="Times New Roman" w:hAnsi="Arial" w:cs="Arial"/>
          <w:color w:val="404040"/>
          <w:kern w:val="0"/>
          <w14:ligatures w14:val="none"/>
        </w:rPr>
        <w:t xml:space="preserve"> </w:t>
      </w:r>
      <w:r w:rsidR="00462254" w:rsidRPr="00B525D1">
        <w:rPr>
          <w:rFonts w:ascii="Arial" w:hAnsi="Arial" w:cs="Arial"/>
        </w:rPr>
        <w:t xml:space="preserve">Recent work on teacher–learner beliefs about corrective feedback also suggests that what teachers choose to target (e.g., grammar vs </w:t>
      </w:r>
      <w:r w:rsidR="00462254" w:rsidRPr="00B525D1">
        <w:rPr>
          <w:rFonts w:ascii="Arial" w:hAnsi="Arial" w:cs="Arial"/>
        </w:rPr>
        <w:lastRenderedPageBreak/>
        <w:t>pronunciation) and how learners perceive those targets can influence which forms become salient, which matters for tense forms that are not always immediately noticeable.</w:t>
      </w:r>
    </w:p>
    <w:p w14:paraId="0BB89343" w14:textId="3527865B" w:rsidR="000E50B2" w:rsidRPr="00B525D1" w:rsidRDefault="000E50B2" w:rsidP="00C67A81">
      <w:pPr>
        <w:spacing w:line="360" w:lineRule="auto"/>
        <w:ind w:firstLine="720"/>
        <w:rPr>
          <w:rFonts w:ascii="Arial" w:hAnsi="Arial" w:cs="Arial"/>
        </w:rPr>
      </w:pPr>
      <w:r w:rsidRPr="00B525D1">
        <w:rPr>
          <w:rFonts w:ascii="Arial" w:hAnsi="Arial" w:cs="Arial"/>
        </w:rPr>
        <w:t>In addition to linguistic and instructional factors, affective factors can influence tense accuracy in speaking</w:t>
      </w:r>
      <w:r w:rsidR="002D43E7" w:rsidRPr="00B525D1">
        <w:rPr>
          <w:rFonts w:ascii="Arial" w:hAnsi="Arial" w:cs="Arial"/>
        </w:rPr>
        <w:t xml:space="preserve"> </w:t>
      </w:r>
      <w:r w:rsidR="002D43E7" w:rsidRPr="00B525D1">
        <w:rPr>
          <w:rFonts w:ascii="Arial" w:hAnsi="Arial" w:cs="Arial"/>
        </w:rPr>
        <w:fldChar w:fldCharType="begin" w:fldLock="1"/>
      </w:r>
      <w:r w:rsidR="00291EA7" w:rsidRPr="00B525D1">
        <w:rPr>
          <w:rFonts w:ascii="Arial" w:hAnsi="Arial" w:cs="Arial"/>
        </w:rPr>
        <w:instrText>ADDIN CSL_CITATION {"citationItems":[{"id":"ITEM-1","itemData":{"author":[{"dropping-particle":"","family":"Nur","given":"Eka","non-dropping-particle":"","parse-names":false,"suffix":""},{"dropping-particle":"","family":"Khasanah","given":"Ummu","non-dropping-particle":"","parse-names":false,"suffix":""},{"dropping-particle":"","family":"Sutrisno","given":"Adi","non-dropping-particle":"","parse-names":false,"suffix":""}],"id":"ITEM-1","issue":"3","issued":{"date-parts":[["2022"]]},"page":"411-423","title":"REALIZATION OF THE USE OF THE TENSE ASPECTS IN ORAL","type":"article-journal"},"uris":["http://www.mendeley.com/documents/?uuid=186f39f2-7849-4d45-99da-ecf8544c66c1"]}],"mendeley":{"formattedCitation":"(Nur et al., 2022)","plainTextFormattedCitation":"(Nur et al., 2022)","previouslyFormattedCitation":"(Nur et al., 2022)"},"properties":{"noteIndex":0},"schema":"https://github.com/citation-style-language/schema/raw/master/csl-citation.json"}</w:instrText>
      </w:r>
      <w:r w:rsidR="002D43E7" w:rsidRPr="00B525D1">
        <w:rPr>
          <w:rFonts w:ascii="Arial" w:hAnsi="Arial" w:cs="Arial"/>
        </w:rPr>
        <w:fldChar w:fldCharType="separate"/>
      </w:r>
      <w:r w:rsidR="002D43E7" w:rsidRPr="00B525D1">
        <w:rPr>
          <w:rFonts w:ascii="Arial" w:hAnsi="Arial" w:cs="Arial"/>
          <w:noProof/>
        </w:rPr>
        <w:t>(Nur et al., 2022)</w:t>
      </w:r>
      <w:r w:rsidR="002D43E7" w:rsidRPr="00B525D1">
        <w:rPr>
          <w:rFonts w:ascii="Arial" w:hAnsi="Arial" w:cs="Arial"/>
        </w:rPr>
        <w:fldChar w:fldCharType="end"/>
      </w:r>
      <w:r w:rsidRPr="00B525D1">
        <w:rPr>
          <w:rFonts w:ascii="Arial" w:hAnsi="Arial" w:cs="Arial"/>
        </w:rPr>
        <w:t>. Foreign language anxiety may cause learners to feel nervous, worried, or afraid of making mistakes when speaking in front of others. Anxiety can reduce the attention available for grammatical monitoring and can interfere with cognitive processing during speaking tasks</w:t>
      </w:r>
      <w:r w:rsidR="00777952" w:rsidRPr="00B525D1">
        <w:rPr>
          <w:rFonts w:ascii="Arial" w:hAnsi="Arial" w:cs="Arial"/>
        </w:rPr>
        <w:t xml:space="preserve"> </w:t>
      </w:r>
      <w:r w:rsidR="00777952" w:rsidRPr="00B525D1">
        <w:rPr>
          <w:rFonts w:ascii="Arial" w:hAnsi="Arial" w:cs="Arial"/>
        </w:rPr>
        <w:fldChar w:fldCharType="begin" w:fldLock="1"/>
      </w:r>
      <w:r w:rsidR="00DA02E7" w:rsidRPr="00B525D1">
        <w:rPr>
          <w:rFonts w:ascii="Arial" w:hAnsi="Arial" w:cs="Arial"/>
        </w:rPr>
        <w:instrText>ADDIN CSL_CITATION {"citationItems":[{"id":"ITEM-1","itemData":{"DOI":"10.63313/LLCS.9019","author":[{"dropping-particle":"","family":"Li","given":"Hui","non-dropping-particle":"","parse-names":false,"suffix":""}],"id":"ITEM-1","issued":{"date-parts":[["2025"]]},"page":"133-138","title":"Exploring the Relationship between Language Anxiety and the Monitor Hypothesis in ESL Learners","type":"article-journal"},"uris":["http://www.mendeley.com/documents/?uuid=b123e10c-b619-469b-9fd3-fba60df37112"]}],"mendeley":{"formattedCitation":"(Li, 2025)","plainTextFormattedCitation":"(Li, 2025)","previouslyFormattedCitation":"(Li, 2025)"},"properties":{"noteIndex":0},"schema":"https://github.com/citation-style-language/schema/raw/master/csl-citation.json"}</w:instrText>
      </w:r>
      <w:r w:rsidR="00777952" w:rsidRPr="00B525D1">
        <w:rPr>
          <w:rFonts w:ascii="Arial" w:hAnsi="Arial" w:cs="Arial"/>
        </w:rPr>
        <w:fldChar w:fldCharType="separate"/>
      </w:r>
      <w:r w:rsidR="00777952" w:rsidRPr="00B525D1">
        <w:rPr>
          <w:rFonts w:ascii="Arial" w:hAnsi="Arial" w:cs="Arial"/>
          <w:noProof/>
        </w:rPr>
        <w:t>(Li, 2025)</w:t>
      </w:r>
      <w:r w:rsidR="00777952" w:rsidRPr="00B525D1">
        <w:rPr>
          <w:rFonts w:ascii="Arial" w:hAnsi="Arial" w:cs="Arial"/>
        </w:rPr>
        <w:fldChar w:fldCharType="end"/>
      </w:r>
      <w:r w:rsidRPr="00B525D1">
        <w:rPr>
          <w:rFonts w:ascii="Arial" w:hAnsi="Arial" w:cs="Arial"/>
        </w:rPr>
        <w:t>. Research on speaking anxiety also indicates that anxiety can be closely connected with learners’ oral performance and confidence</w:t>
      </w:r>
      <w:r w:rsidR="005A2ABD" w:rsidRPr="00B525D1">
        <w:rPr>
          <w:rFonts w:ascii="Arial" w:hAnsi="Arial" w:cs="Arial"/>
        </w:rPr>
        <w:t xml:space="preserve"> </w:t>
      </w:r>
      <w:r w:rsidR="00DA02E7" w:rsidRPr="00B525D1">
        <w:rPr>
          <w:rFonts w:ascii="Arial" w:hAnsi="Arial" w:cs="Arial"/>
        </w:rPr>
        <w:fldChar w:fldCharType="begin" w:fldLock="1"/>
      </w:r>
      <w:r w:rsidR="009C3CAB" w:rsidRPr="00B525D1">
        <w:rPr>
          <w:rFonts w:ascii="Arial" w:hAnsi="Arial" w:cs="Arial"/>
        </w:rPr>
        <w:instrText>ADDIN CSL_CITATION {"citationItems":[{"id":"ITEM-1","itemData":{"author":[{"dropping-particle":"","family":"Irulappan","given":"Suryakala","non-dropping-particle":"","parse-names":false,"suffix":""}],"id":"ITEM-1","issue":"5","issued":{"date-parts":[["2025"]]},"page":"4-19","title":"Euro-Global Journal of Linguistics and Language Education","type":"article-journal","volume":"2"},"uris":["http://www.mendeley.com/documents/?uuid=62e4202a-bb58-4492-b462-4c4082cce293"]}],"mendeley":{"formattedCitation":"(Irulappan, 2025)","plainTextFormattedCitation":"(Irulappan, 2025)","previouslyFormattedCitation":"(Irulappan, 2025)"},"properties":{"noteIndex":0},"schema":"https://github.com/citation-style-language/schema/raw/master/csl-citation.json"}</w:instrText>
      </w:r>
      <w:r w:rsidR="00DA02E7" w:rsidRPr="00B525D1">
        <w:rPr>
          <w:rFonts w:ascii="Arial" w:hAnsi="Arial" w:cs="Arial"/>
        </w:rPr>
        <w:fldChar w:fldCharType="separate"/>
      </w:r>
      <w:r w:rsidR="00DA02E7" w:rsidRPr="00B525D1">
        <w:rPr>
          <w:rFonts w:ascii="Arial" w:hAnsi="Arial" w:cs="Arial"/>
          <w:noProof/>
        </w:rPr>
        <w:t>(Irulappan, 2025)</w:t>
      </w:r>
      <w:r w:rsidR="00DA02E7" w:rsidRPr="00B525D1">
        <w:rPr>
          <w:rFonts w:ascii="Arial" w:hAnsi="Arial" w:cs="Arial"/>
        </w:rPr>
        <w:fldChar w:fldCharType="end"/>
      </w:r>
      <w:r w:rsidR="009D30AB" w:rsidRPr="00B525D1">
        <w:rPr>
          <w:rFonts w:ascii="Arial" w:hAnsi="Arial" w:cs="Arial"/>
        </w:rPr>
        <w:t xml:space="preserve">.  Recent evidence shows that higher self-perceived anxiety can be associated with reduced fluency and lower </w:t>
      </w:r>
      <w:proofErr w:type="spellStart"/>
      <w:r w:rsidR="009D30AB" w:rsidRPr="00B525D1">
        <w:rPr>
          <w:rFonts w:ascii="Arial" w:hAnsi="Arial" w:cs="Arial"/>
        </w:rPr>
        <w:t>lexico</w:t>
      </w:r>
      <w:proofErr w:type="spellEnd"/>
      <w:r w:rsidR="009D30AB" w:rsidRPr="00B525D1">
        <w:rPr>
          <w:rFonts w:ascii="Arial" w:hAnsi="Arial" w:cs="Arial"/>
        </w:rPr>
        <w:t>-grammatical accuracy, especially when tasks become more complex. In practice, learners may “know” the tense rule but still misuse it because they are nervous, rushed, or focused on avoiding embarrassment rather than monitoring grammar.</w:t>
      </w:r>
    </w:p>
    <w:p w14:paraId="53C1266E" w14:textId="61EB1051" w:rsidR="00880DC4" w:rsidRPr="00B525D1" w:rsidRDefault="000E50B2" w:rsidP="00C67A81">
      <w:pPr>
        <w:spacing w:line="360" w:lineRule="auto"/>
        <w:ind w:firstLine="720"/>
        <w:rPr>
          <w:rFonts w:ascii="Arial" w:hAnsi="Arial" w:cs="Arial"/>
        </w:rPr>
      </w:pPr>
      <w:r w:rsidRPr="00B525D1">
        <w:rPr>
          <w:rFonts w:ascii="Arial" w:hAnsi="Arial" w:cs="Arial"/>
        </w:rPr>
        <w:t xml:space="preserve">This study </w:t>
      </w:r>
      <w:r w:rsidR="007D5AFD" w:rsidRPr="00B525D1">
        <w:rPr>
          <w:rFonts w:ascii="Arial" w:hAnsi="Arial" w:cs="Arial"/>
        </w:rPr>
        <w:t>was</w:t>
      </w:r>
      <w:r w:rsidRPr="00B525D1">
        <w:rPr>
          <w:rFonts w:ascii="Arial" w:hAnsi="Arial" w:cs="Arial"/>
        </w:rPr>
        <w:t xml:space="preserve"> conducted at Simple English Course in Kampung </w:t>
      </w:r>
      <w:proofErr w:type="spellStart"/>
      <w:r w:rsidRPr="00B525D1">
        <w:rPr>
          <w:rFonts w:ascii="Arial" w:hAnsi="Arial" w:cs="Arial"/>
        </w:rPr>
        <w:t>Inggris</w:t>
      </w:r>
      <w:proofErr w:type="spellEnd"/>
      <w:r w:rsidRPr="00B525D1">
        <w:rPr>
          <w:rFonts w:ascii="Arial" w:hAnsi="Arial" w:cs="Arial"/>
        </w:rPr>
        <w:t>, Pare, Kediri, where learners participate in frequent speaking activities. In this environment, students are encouraged to use English actively, which makes speaking errors</w:t>
      </w:r>
      <w:r w:rsidR="005A2ABD" w:rsidRPr="00B525D1">
        <w:rPr>
          <w:rFonts w:ascii="Arial" w:hAnsi="Arial" w:cs="Arial"/>
        </w:rPr>
        <w:t xml:space="preserve"> </w:t>
      </w:r>
      <w:r w:rsidRPr="00B525D1">
        <w:rPr>
          <w:rFonts w:ascii="Arial" w:hAnsi="Arial" w:cs="Arial"/>
        </w:rPr>
        <w:t>including tense misuse</w:t>
      </w:r>
      <w:r w:rsidR="005A2ABD" w:rsidRPr="00B525D1">
        <w:rPr>
          <w:rFonts w:ascii="Arial" w:hAnsi="Arial" w:cs="Arial"/>
        </w:rPr>
        <w:t xml:space="preserve"> </w:t>
      </w:r>
      <w:r w:rsidRPr="00B525D1">
        <w:rPr>
          <w:rFonts w:ascii="Arial" w:hAnsi="Arial" w:cs="Arial"/>
        </w:rPr>
        <w:t>more observable. Therefore, investigating factors influencing tense misuse in this specific setting is important for understanding how grammar knowledge, practice opportunities, L1 influence, and psychological conditions interact during real speaking</w:t>
      </w:r>
      <w:r w:rsidR="00291EA7" w:rsidRPr="00B525D1">
        <w:rPr>
          <w:rFonts w:ascii="Arial" w:hAnsi="Arial" w:cs="Arial"/>
        </w:rPr>
        <w:t xml:space="preserve"> </w:t>
      </w:r>
      <w:r w:rsidR="00291EA7" w:rsidRPr="00B525D1">
        <w:rPr>
          <w:rFonts w:ascii="Arial" w:hAnsi="Arial" w:cs="Arial"/>
        </w:rPr>
        <w:fldChar w:fldCharType="begin" w:fldLock="1"/>
      </w:r>
      <w:r w:rsidR="00335551" w:rsidRPr="00B525D1">
        <w:rPr>
          <w:rFonts w:ascii="Arial" w:hAnsi="Arial" w:cs="Arial"/>
        </w:rPr>
        <w:instrText>ADDIN CSL_CITATION {"citationItems":[{"id":"ITEM-1","itemData":{"DOI":"10.3389/feduc.2025.1571099","author":[{"dropping-particle":"","family":"Rad","given":"Neda Fatehi","non-dropping-particle":"","parse-names":false,"suffix":""},{"dropping-particle":"","family":"Portugal-toro","given":"Arlene","non-dropping-particle":"","parse-names":false,"suffix":""},{"dropping-particle":"","family":"García-peñalvo","given":"Francisco José","non-dropping-particle":"","parse-names":false,"suffix":""},{"dropping-particle":"","family":"Portugal-toro","given":"Arlene","non-dropping-particle":"","parse-names":false,"suffix":""}],"id":"ITEM-1","issue":"July","issued":{"date-parts":[["2025"]]},"title":"Cognitive and affective processes in second language oral communication : a mixed methods research","type":"article-journal"},"uris":["http://www.mendeley.com/documents/?uuid=494f99ff-e47b-4552-b1a3-8a21b4fcfab6"]}],"mendeley":{"formattedCitation":"(Rad et al., 2025)","plainTextFormattedCitation":"(Rad et al., 2025)","previouslyFormattedCitation":"(Rad et al., 2025)"},"properties":{"noteIndex":0},"schema":"https://github.com/citation-style-language/schema/raw/master/csl-citation.json"}</w:instrText>
      </w:r>
      <w:r w:rsidR="00291EA7" w:rsidRPr="00B525D1">
        <w:rPr>
          <w:rFonts w:ascii="Arial" w:hAnsi="Arial" w:cs="Arial"/>
        </w:rPr>
        <w:fldChar w:fldCharType="separate"/>
      </w:r>
      <w:r w:rsidR="00291EA7" w:rsidRPr="00B525D1">
        <w:rPr>
          <w:rFonts w:ascii="Arial" w:hAnsi="Arial" w:cs="Arial"/>
          <w:noProof/>
        </w:rPr>
        <w:t>(Rad et al., 2025)</w:t>
      </w:r>
      <w:r w:rsidR="00291EA7" w:rsidRPr="00B525D1">
        <w:rPr>
          <w:rFonts w:ascii="Arial" w:hAnsi="Arial" w:cs="Arial"/>
        </w:rPr>
        <w:fldChar w:fldCharType="end"/>
      </w:r>
      <w:r w:rsidRPr="00B525D1">
        <w:rPr>
          <w:rFonts w:ascii="Arial" w:hAnsi="Arial" w:cs="Arial"/>
        </w:rPr>
        <w:t>. The findings are expected to help tutors design speaking activities that maintain communication as the main goal while still supporting tense accuracy through appropriate practice, feedback, and a supportive learning environment.</w:t>
      </w:r>
      <w:r w:rsidR="00880DC4" w:rsidRPr="00B525D1">
        <w:rPr>
          <w:rFonts w:ascii="Arial" w:hAnsi="Arial" w:cs="Arial"/>
        </w:rPr>
        <w:t xml:space="preserve"> </w:t>
      </w:r>
      <w:r w:rsidR="00BD761E" w:rsidRPr="00B525D1">
        <w:rPr>
          <w:rFonts w:ascii="Arial" w:hAnsi="Arial" w:cs="Arial"/>
        </w:rPr>
        <w:t>Classroom-informed</w:t>
      </w:r>
      <w:r w:rsidR="00880DC4" w:rsidRPr="00B525D1">
        <w:rPr>
          <w:rFonts w:ascii="Arial" w:hAnsi="Arial" w:cs="Arial"/>
        </w:rPr>
        <w:t xml:space="preserve"> evidence on oral corrective feedback and anxiety in speaking can inform practical decisions about when to intervene, how to reduce performance pressure, and how to sustain communication while still improving grammatical accuracy.</w:t>
      </w:r>
    </w:p>
    <w:p w14:paraId="0B4E9DE4" w14:textId="77777777" w:rsidR="005A2ABD" w:rsidRPr="00B525D1" w:rsidRDefault="005A2ABD" w:rsidP="00B525D1">
      <w:pPr>
        <w:spacing w:line="360" w:lineRule="auto"/>
        <w:rPr>
          <w:rFonts w:ascii="Arial" w:hAnsi="Arial" w:cs="Arial"/>
        </w:rPr>
      </w:pPr>
    </w:p>
    <w:p w14:paraId="760F2D31" w14:textId="34A76C49" w:rsidR="000E50B2" w:rsidRPr="00960CFC" w:rsidRDefault="00960CFC" w:rsidP="00960CFC">
      <w:pPr>
        <w:spacing w:before="240" w:after="120"/>
      </w:pPr>
      <w:r>
        <w:rPr>
          <w:rFonts w:ascii="Arial" w:eastAsia="Arial" w:hAnsi="Arial" w:cs="Arial"/>
          <w:b/>
          <w:bCs/>
        </w:rPr>
        <w:lastRenderedPageBreak/>
        <w:t>METHODS</w:t>
      </w:r>
    </w:p>
    <w:p w14:paraId="3F90BFC7" w14:textId="066C04C0" w:rsidR="007754CA" w:rsidRPr="00B525D1" w:rsidRDefault="007754CA" w:rsidP="00B525D1">
      <w:pPr>
        <w:spacing w:line="360" w:lineRule="auto"/>
        <w:rPr>
          <w:rFonts w:ascii="Arial" w:hAnsi="Arial" w:cs="Arial"/>
        </w:rPr>
      </w:pPr>
      <w:r w:rsidRPr="00B525D1">
        <w:rPr>
          <w:rFonts w:ascii="Arial" w:hAnsi="Arial" w:cs="Arial"/>
        </w:rPr>
        <w:t xml:space="preserve">This study employed a qualitative descriptive approach to explore factors influencing students’ misuse of English tenses in speaking at Simple English Course, Kampung </w:t>
      </w:r>
      <w:proofErr w:type="spellStart"/>
      <w:r w:rsidRPr="00B525D1">
        <w:rPr>
          <w:rFonts w:ascii="Arial" w:hAnsi="Arial" w:cs="Arial"/>
        </w:rPr>
        <w:t>Inggris</w:t>
      </w:r>
      <w:proofErr w:type="spellEnd"/>
      <w:r w:rsidRPr="00B525D1">
        <w:rPr>
          <w:rFonts w:ascii="Arial" w:hAnsi="Arial" w:cs="Arial"/>
        </w:rPr>
        <w:t>, Pare, Kediri, Indonesia. A qualitative design was selected because the study aimed to understand tense misuse in context and to explore learners’ experiences and perceptions about why the errors occurred, not to test a treatment statistically. This choice aligns with recent methodological discussions of </w:t>
      </w:r>
      <w:r w:rsidRPr="00B525D1">
        <w:rPr>
          <w:rFonts w:ascii="Arial" w:hAnsi="Arial" w:cs="Arial"/>
          <w:i/>
          <w:iCs/>
        </w:rPr>
        <w:t>qualitative descriptive</w:t>
      </w:r>
      <w:r w:rsidRPr="00B525D1">
        <w:rPr>
          <w:rFonts w:ascii="Arial" w:hAnsi="Arial" w:cs="Arial"/>
        </w:rPr>
        <w:t> design, which emphasize staying close to participants’ accounts and producing a comprehensive, practice-relevant summary of a phenomenon.</w:t>
      </w:r>
    </w:p>
    <w:p w14:paraId="2F1A1414" w14:textId="78FEFED5" w:rsidR="007754CA" w:rsidRPr="00B525D1" w:rsidRDefault="007754CA" w:rsidP="00433E8C">
      <w:pPr>
        <w:spacing w:line="360" w:lineRule="auto"/>
        <w:ind w:firstLine="720"/>
        <w:rPr>
          <w:rFonts w:ascii="Arial" w:hAnsi="Arial" w:cs="Arial"/>
        </w:rPr>
      </w:pPr>
      <w:r w:rsidRPr="00B525D1">
        <w:rPr>
          <w:rFonts w:ascii="Arial" w:hAnsi="Arial" w:cs="Arial"/>
        </w:rPr>
        <w:t xml:space="preserve">The study was conducted at Simple English Course in Kampung </w:t>
      </w:r>
      <w:proofErr w:type="spellStart"/>
      <w:r w:rsidRPr="00B525D1">
        <w:rPr>
          <w:rFonts w:ascii="Arial" w:hAnsi="Arial" w:cs="Arial"/>
        </w:rPr>
        <w:t>Inggris</w:t>
      </w:r>
      <w:proofErr w:type="spellEnd"/>
      <w:r w:rsidRPr="00B525D1">
        <w:rPr>
          <w:rFonts w:ascii="Arial" w:hAnsi="Arial" w:cs="Arial"/>
        </w:rPr>
        <w:t xml:space="preserve"> Pare. The focus was on speaking-oriented sessions such as conversation practice, role play, short presentations, and question–answer activities. These activities were relevant because they required spontaneous speaking and created real-time pressure, which often reveals tense misuse more clearly than written work.  Because spontaneous speaking is sensitive to task pressure and performance conditions, capturing naturally occurring classroom speaking provides ecologically valid evidence of how tense misuse emerges during real interaction. Data were collected during two regular course sessions to capture natural speaking performance and the classroom conditions surrounding the errors.</w:t>
      </w:r>
    </w:p>
    <w:p w14:paraId="1681147E" w14:textId="6609D5CB" w:rsidR="007754CA" w:rsidRPr="00B525D1" w:rsidRDefault="007754CA" w:rsidP="00433E8C">
      <w:pPr>
        <w:spacing w:line="360" w:lineRule="auto"/>
        <w:ind w:firstLine="720"/>
        <w:rPr>
          <w:rFonts w:ascii="Arial" w:hAnsi="Arial" w:cs="Arial"/>
        </w:rPr>
      </w:pPr>
      <w:r w:rsidRPr="00B525D1">
        <w:rPr>
          <w:rFonts w:ascii="Arial" w:hAnsi="Arial" w:cs="Arial"/>
        </w:rPr>
        <w:t>The participants were five basic-level students at Simple English Course. Participants were selected through purposive sampling based on active participation in speaking activities and willingness to be observed, recorded, and interviewed. The participants were mixed-age learners (teenagers to adults). To protect privacy, the participants were coded as S1–S5</w:t>
      </w:r>
      <w:r w:rsidR="00681861" w:rsidRPr="00B525D1">
        <w:rPr>
          <w:rFonts w:ascii="Arial" w:hAnsi="Arial" w:cs="Arial"/>
        </w:rPr>
        <w:t xml:space="preserve"> </w:t>
      </w:r>
      <w:r w:rsidRPr="00B525D1">
        <w:rPr>
          <w:rFonts w:ascii="Arial" w:hAnsi="Arial" w:cs="Arial"/>
        </w:rPr>
        <w:t>Purposive selection is commonly used in qualitative descriptive work to ensure participants have direct experience with the phenomenon under study and can provide information-rich accounts.</w:t>
      </w:r>
    </w:p>
    <w:p w14:paraId="70FBD55A" w14:textId="082BE6EC" w:rsidR="007754CA" w:rsidRPr="00B525D1" w:rsidRDefault="007754CA" w:rsidP="00433E8C">
      <w:pPr>
        <w:spacing w:line="360" w:lineRule="auto"/>
        <w:ind w:firstLine="720"/>
        <w:rPr>
          <w:rFonts w:ascii="Arial" w:hAnsi="Arial" w:cs="Arial"/>
        </w:rPr>
      </w:pPr>
      <w:r w:rsidRPr="00B525D1">
        <w:rPr>
          <w:rFonts w:ascii="Arial" w:hAnsi="Arial" w:cs="Arial"/>
        </w:rPr>
        <w:t>In this study, “misuse of tenses” refers to non-target-like tense use in spoken English that affects (or risks affecting) intended time reference. The focus is on errors that appear in speaking performance, including errors that may not appear when students do written exercises.</w:t>
      </w:r>
      <w:r w:rsidR="00681861" w:rsidRPr="00B525D1">
        <w:rPr>
          <w:rFonts w:ascii="Arial" w:hAnsi="Arial" w:cs="Arial"/>
        </w:rPr>
        <w:t xml:space="preserve"> </w:t>
      </w:r>
      <w:r w:rsidRPr="00B525D1">
        <w:rPr>
          <w:rFonts w:ascii="Arial" w:hAnsi="Arial" w:cs="Arial"/>
        </w:rPr>
        <w:t xml:space="preserve">Defining the phenomenon operationally in this </w:t>
      </w:r>
      <w:r w:rsidRPr="00B525D1">
        <w:rPr>
          <w:rFonts w:ascii="Arial" w:hAnsi="Arial" w:cs="Arial"/>
        </w:rPr>
        <w:lastRenderedPageBreak/>
        <w:t>way supports analytic consistency, because it clarifies which oral deviations are treated as meaningful tense misuse (i.e., those that may change or obscure time reference).</w:t>
      </w:r>
    </w:p>
    <w:p w14:paraId="0659889C" w14:textId="77777777" w:rsidR="002C1826" w:rsidRPr="00B525D1" w:rsidRDefault="002C1826" w:rsidP="00B525D1">
      <w:pPr>
        <w:spacing w:line="360" w:lineRule="auto"/>
        <w:rPr>
          <w:rFonts w:ascii="Arial" w:hAnsi="Arial" w:cs="Arial"/>
        </w:rPr>
      </w:pPr>
      <w:r w:rsidRPr="00B525D1">
        <w:rPr>
          <w:rFonts w:ascii="Arial" w:hAnsi="Arial" w:cs="Arial"/>
        </w:rPr>
        <w:t>These categories provide a structured framework for addressing RQ1, while RQ2 can further explore how these categories are associated with the underlying factors revealed through interview and observation data.</w:t>
      </w:r>
    </w:p>
    <w:p w14:paraId="6B68DDF5" w14:textId="7CC756CA" w:rsidR="007754CA" w:rsidRPr="00B525D1" w:rsidRDefault="007754CA" w:rsidP="00B525D1">
      <w:pPr>
        <w:spacing w:line="360" w:lineRule="auto"/>
        <w:rPr>
          <w:rFonts w:ascii="Arial" w:hAnsi="Arial" w:cs="Arial"/>
        </w:rPr>
      </w:pPr>
      <w:r w:rsidRPr="00B525D1">
        <w:rPr>
          <w:rFonts w:ascii="Arial" w:hAnsi="Arial" w:cs="Arial"/>
        </w:rPr>
        <w:t>Data were collected through observation, speaking tasks, and semi-structured interviews. Using multiple data sources supports methodological triangulation, which strengthens the credibility of qualitative findings when patterns converge across observations, elicited performance, and participants’ explanations.</w:t>
      </w:r>
    </w:p>
    <w:p w14:paraId="3117EF0D" w14:textId="1EA0C89F" w:rsidR="007754CA" w:rsidRPr="00B525D1" w:rsidRDefault="007754CA" w:rsidP="002F087C">
      <w:pPr>
        <w:spacing w:line="360" w:lineRule="auto"/>
        <w:ind w:firstLine="720"/>
        <w:rPr>
          <w:rFonts w:ascii="Arial" w:hAnsi="Arial" w:cs="Arial"/>
        </w:rPr>
      </w:pPr>
      <w:r w:rsidRPr="00B525D1">
        <w:rPr>
          <w:rFonts w:ascii="Arial" w:hAnsi="Arial" w:cs="Arial"/>
        </w:rPr>
        <w:t>Observation was used to document tense misuse during natural classroom interaction and to record contextual notes such as activity type, topic, whether students had preparation time, and how tutors responded to errors (ignored, corrected directly, recast, etc.). Speaking tasks were used to elicit comparable oral data from each participant so that tense misuse patterns could be compared across students. This combination allows the study to compare “in-the-moment” classroom behavior with more controlled elicited output, improving the dependability of patterns identified across participants.</w:t>
      </w:r>
    </w:p>
    <w:p w14:paraId="7E3A80B0" w14:textId="4926B1E6" w:rsidR="007754CA" w:rsidRPr="00B525D1" w:rsidRDefault="007754CA" w:rsidP="002F087C">
      <w:pPr>
        <w:spacing w:line="360" w:lineRule="auto"/>
        <w:ind w:firstLine="720"/>
        <w:rPr>
          <w:rFonts w:ascii="Arial" w:hAnsi="Arial" w:cs="Arial"/>
        </w:rPr>
      </w:pPr>
      <w:r w:rsidRPr="00B525D1">
        <w:rPr>
          <w:rFonts w:ascii="Arial" w:hAnsi="Arial" w:cs="Arial"/>
        </w:rPr>
        <w:t>Because the participants were basic-level, tasks were designed to be simple but tense-relevant. Examples of suitable prompts include: recounting a past experience (“Tell me about your last weekend”), describing routines (“What do you usually do every morning?”), expressing plans (“What will you do next week?”), and picture-based prompts that allow mixed tense production (describe the picture and explain what happened before/after</w:t>
      </w:r>
      <w:r w:rsidR="00AE3001" w:rsidRPr="00B525D1">
        <w:rPr>
          <w:rFonts w:ascii="Arial" w:hAnsi="Arial" w:cs="Arial"/>
        </w:rPr>
        <w:t>.</w:t>
      </w:r>
      <w:r w:rsidRPr="00B525D1">
        <w:rPr>
          <w:rFonts w:ascii="Arial" w:hAnsi="Arial" w:cs="Arial"/>
        </w:rPr>
        <w:t> Designing prompts that naturally invite past, present, and future reference supports content validity for investigating tense use, because it creates communicative reasons for learners to select different tense forms rather than producing forms in isolation.</w:t>
      </w:r>
    </w:p>
    <w:p w14:paraId="2567DE45" w14:textId="0DE23714" w:rsidR="007754CA" w:rsidRPr="00B525D1" w:rsidRDefault="007754CA" w:rsidP="002F087C">
      <w:pPr>
        <w:spacing w:line="360" w:lineRule="auto"/>
        <w:ind w:firstLine="720"/>
        <w:rPr>
          <w:rFonts w:ascii="Arial" w:hAnsi="Arial" w:cs="Arial"/>
        </w:rPr>
      </w:pPr>
      <w:r w:rsidRPr="00B525D1">
        <w:rPr>
          <w:rFonts w:ascii="Arial" w:hAnsi="Arial" w:cs="Arial"/>
        </w:rPr>
        <w:t xml:space="preserve">Semi-structured interviews were used to explore learners’ perceptions and reasons behind tense misuse. The interview topics included: which tenses feel </w:t>
      </w:r>
      <w:r w:rsidRPr="00B525D1">
        <w:rPr>
          <w:rFonts w:ascii="Arial" w:hAnsi="Arial" w:cs="Arial"/>
        </w:rPr>
        <w:lastRenderedPageBreak/>
        <w:t>difficult, whether they think about grammar while speaking, what they do when they forget a verb form, whether Indonesian habits influence their English, how often they practice speaking, and whether nervousness affects their performance. </w:t>
      </w:r>
      <w:r w:rsidR="00AE3001" w:rsidRPr="00B525D1">
        <w:rPr>
          <w:rFonts w:ascii="Arial" w:hAnsi="Arial" w:cs="Arial"/>
        </w:rPr>
        <w:t xml:space="preserve"> </w:t>
      </w:r>
      <w:r w:rsidRPr="00B525D1">
        <w:rPr>
          <w:rFonts w:ascii="Arial" w:hAnsi="Arial" w:cs="Arial"/>
        </w:rPr>
        <w:t>Semi-structured interviewing is appropriate here because it maintains comparability across participants while still allowing follow-up questions to clarify individual experiences and explanations.</w:t>
      </w:r>
    </w:p>
    <w:p w14:paraId="1CC6BA23" w14:textId="007FBF48" w:rsidR="007754CA" w:rsidRPr="00B525D1" w:rsidRDefault="007754CA" w:rsidP="00B525D1">
      <w:pPr>
        <w:spacing w:line="360" w:lineRule="auto"/>
        <w:rPr>
          <w:rFonts w:ascii="Arial" w:hAnsi="Arial" w:cs="Arial"/>
        </w:rPr>
      </w:pPr>
      <w:r w:rsidRPr="00B525D1">
        <w:rPr>
          <w:rFonts w:ascii="Arial" w:hAnsi="Arial" w:cs="Arial"/>
        </w:rPr>
        <w:t>Data collection was carried out in several stages. First, the researcher obtained permission from the course and explained the research purpose and confidentiality to participants. During Session 1, the researcher observed speaking activities and recorded relevant parts, then administered speaking tasks and recorded each student’s performance. During Session 2, the researcher repeated observation and administered additional speaking tasks if needed to confirm patterns, then conducted semi-structured interviews after the tasks to clarify students’ tense choices and difficulties. All recordings were transcribed for analysis. </w:t>
      </w:r>
      <w:r w:rsidR="00AE3001" w:rsidRPr="00B525D1">
        <w:rPr>
          <w:rFonts w:ascii="Arial" w:hAnsi="Arial" w:cs="Arial"/>
        </w:rPr>
        <w:t xml:space="preserve"> </w:t>
      </w:r>
      <w:r w:rsidRPr="00B525D1">
        <w:rPr>
          <w:rFonts w:ascii="Arial" w:hAnsi="Arial" w:cs="Arial"/>
        </w:rPr>
        <w:t>To enhance trustworthiness, the study maintained an audit trail (e.g., field notes, coded transcripts, and analytic memos) and used triangulation to support credibility and dependability. </w:t>
      </w:r>
      <w:r w:rsidR="00AE3001" w:rsidRPr="00B525D1">
        <w:rPr>
          <w:rFonts w:ascii="Arial" w:hAnsi="Arial" w:cs="Arial"/>
        </w:rPr>
        <w:t xml:space="preserve"> </w:t>
      </w:r>
      <w:r w:rsidRPr="00B525D1">
        <w:rPr>
          <w:rFonts w:ascii="Arial" w:hAnsi="Arial" w:cs="Arial"/>
        </w:rPr>
        <w:t>Following recent guidance on trustworthiness criteria (credibility, transferability, dependability, confirmability) can help readers evaluate the quality of qualitative findings and the transparency of the analytic process.</w:t>
      </w:r>
    </w:p>
    <w:p w14:paraId="16B81F4C" w14:textId="77777777" w:rsidR="007754CA" w:rsidRPr="00B525D1" w:rsidRDefault="007754CA" w:rsidP="00B525D1">
      <w:pPr>
        <w:spacing w:line="360" w:lineRule="auto"/>
        <w:rPr>
          <w:rFonts w:ascii="Arial" w:hAnsi="Arial" w:cs="Arial"/>
        </w:rPr>
      </w:pPr>
    </w:p>
    <w:p w14:paraId="6C4159D5" w14:textId="77777777" w:rsidR="00B525D1" w:rsidRDefault="00B525D1" w:rsidP="00B525D1">
      <w:pPr>
        <w:spacing w:line="360" w:lineRule="auto"/>
        <w:rPr>
          <w:rFonts w:ascii="Arial" w:hAnsi="Arial" w:cs="Arial"/>
          <w:b/>
          <w:bCs/>
        </w:rPr>
      </w:pPr>
    </w:p>
    <w:p w14:paraId="4A7CE453" w14:textId="77777777" w:rsidR="00B525D1" w:rsidRDefault="00B525D1" w:rsidP="00B525D1">
      <w:pPr>
        <w:spacing w:line="360" w:lineRule="auto"/>
        <w:rPr>
          <w:rFonts w:ascii="Arial" w:hAnsi="Arial" w:cs="Arial"/>
          <w:b/>
          <w:bCs/>
        </w:rPr>
      </w:pPr>
    </w:p>
    <w:p w14:paraId="04BF2AF5" w14:textId="2220417C" w:rsidR="003D68F1" w:rsidRPr="00B525D1" w:rsidRDefault="003D68F1" w:rsidP="00B525D1">
      <w:pPr>
        <w:spacing w:line="360" w:lineRule="auto"/>
        <w:rPr>
          <w:rFonts w:ascii="Arial" w:hAnsi="Arial" w:cs="Arial"/>
        </w:rPr>
      </w:pPr>
      <w:r w:rsidRPr="00B525D1">
        <w:rPr>
          <w:rFonts w:ascii="Arial" w:hAnsi="Arial" w:cs="Arial"/>
          <w:b/>
          <w:bCs/>
        </w:rPr>
        <w:t>AUTHOR BIOGRAPHY</w:t>
      </w:r>
    </w:p>
    <w:p w14:paraId="34DFBC97" w14:textId="77777777" w:rsidR="003D68F1" w:rsidRPr="00B525D1" w:rsidRDefault="003D68F1" w:rsidP="00B525D1">
      <w:pPr>
        <w:spacing w:line="360" w:lineRule="auto"/>
        <w:rPr>
          <w:rFonts w:ascii="Arial" w:hAnsi="Arial" w:cs="Arial"/>
        </w:rPr>
      </w:pPr>
      <w:r w:rsidRPr="00B525D1">
        <w:rPr>
          <w:rFonts w:ascii="Arial" w:hAnsi="Arial" w:cs="Arial"/>
          <w:b/>
          <w:bCs/>
        </w:rPr>
        <w:t>Nurul Wahidah</w:t>
      </w:r>
      <w:r w:rsidRPr="00B525D1">
        <w:rPr>
          <w:rFonts w:ascii="Arial" w:hAnsi="Arial" w:cs="Arial"/>
        </w:rPr>
        <w:t xml:space="preserve"> is a student in the English Education Department at Universitas Islam Kadiri (UNISKA). Alongside her formal studies, she has gained valuable practical experience in English language education by teaching at various English courses and Islamic boarding schools (</w:t>
      </w:r>
      <w:proofErr w:type="spellStart"/>
      <w:r w:rsidRPr="00B525D1">
        <w:rPr>
          <w:rFonts w:ascii="Arial" w:hAnsi="Arial" w:cs="Arial"/>
          <w:i/>
          <w:iCs/>
        </w:rPr>
        <w:t>pesantren</w:t>
      </w:r>
      <w:proofErr w:type="spellEnd"/>
      <w:r w:rsidRPr="00B525D1">
        <w:rPr>
          <w:rFonts w:ascii="Arial" w:hAnsi="Arial" w:cs="Arial"/>
        </w:rPr>
        <w:t xml:space="preserve">). Her academic interests center on English language education, speaking instruction, and grammar (particularly English </w:t>
      </w:r>
      <w:r w:rsidRPr="00B525D1">
        <w:rPr>
          <w:rFonts w:ascii="Arial" w:hAnsi="Arial" w:cs="Arial"/>
        </w:rPr>
        <w:lastRenderedPageBreak/>
        <w:t>tenses). Her research primarily focuses on learner difficulties in spontaneous oral communication and the underlying factors that influence grammatical accuracy and students' confidence in speaking contexts.</w:t>
      </w:r>
    </w:p>
    <w:p w14:paraId="3E83D362" w14:textId="77777777" w:rsidR="00155BB5" w:rsidRPr="00B525D1" w:rsidRDefault="00155BB5" w:rsidP="00B525D1">
      <w:pPr>
        <w:spacing w:line="360" w:lineRule="auto"/>
        <w:rPr>
          <w:rFonts w:ascii="Arial" w:hAnsi="Arial" w:cs="Arial"/>
        </w:rPr>
      </w:pPr>
    </w:p>
    <w:p w14:paraId="23443C2D" w14:textId="77777777" w:rsidR="000E50B2" w:rsidRPr="00B525D1" w:rsidRDefault="000E50B2" w:rsidP="00B525D1">
      <w:pPr>
        <w:spacing w:line="360" w:lineRule="auto"/>
        <w:rPr>
          <w:rFonts w:ascii="Arial" w:hAnsi="Arial" w:cs="Arial"/>
        </w:rPr>
      </w:pPr>
      <w:r w:rsidRPr="00B525D1">
        <w:rPr>
          <w:rFonts w:ascii="Arial" w:hAnsi="Arial" w:cs="Arial"/>
          <w:b/>
          <w:bCs/>
        </w:rPr>
        <w:t>References (APA 7th)</w:t>
      </w:r>
    </w:p>
    <w:p w14:paraId="59B9E723" w14:textId="0E47A3E1" w:rsidR="00EA7D2A" w:rsidRPr="00EA7D2A" w:rsidRDefault="005A73AC" w:rsidP="00EA7D2A">
      <w:pPr>
        <w:widowControl w:val="0"/>
        <w:autoSpaceDE w:val="0"/>
        <w:autoSpaceDN w:val="0"/>
        <w:adjustRightInd w:val="0"/>
        <w:spacing w:line="360" w:lineRule="auto"/>
        <w:ind w:left="480" w:hanging="480"/>
        <w:rPr>
          <w:rFonts w:ascii="Arial" w:hAnsi="Arial" w:cs="Arial"/>
          <w:noProof/>
          <w:kern w:val="0"/>
        </w:rPr>
      </w:pPr>
      <w:r w:rsidRPr="00B525D1">
        <w:rPr>
          <w:rFonts w:ascii="Arial" w:hAnsi="Arial" w:cs="Arial"/>
        </w:rPr>
        <w:fldChar w:fldCharType="begin" w:fldLock="1"/>
      </w:r>
      <w:r w:rsidRPr="00B525D1">
        <w:rPr>
          <w:rFonts w:ascii="Arial" w:hAnsi="Arial" w:cs="Arial"/>
        </w:rPr>
        <w:instrText xml:space="preserve">ADDIN Mendeley Bibliography CSL_BIBLIOGRAPHY </w:instrText>
      </w:r>
      <w:r w:rsidRPr="00B525D1">
        <w:rPr>
          <w:rFonts w:ascii="Arial" w:hAnsi="Arial" w:cs="Arial"/>
        </w:rPr>
        <w:fldChar w:fldCharType="separate"/>
      </w:r>
      <w:r w:rsidR="00EA7D2A" w:rsidRPr="00EA7D2A">
        <w:rPr>
          <w:rFonts w:ascii="Arial" w:hAnsi="Arial" w:cs="Arial"/>
          <w:noProof/>
          <w:kern w:val="0"/>
        </w:rPr>
        <w:t xml:space="preserve">Albarqi, G. (2024). </w:t>
      </w:r>
      <w:r w:rsidR="00EA7D2A" w:rsidRPr="00EA7D2A">
        <w:rPr>
          <w:rFonts w:ascii="Arial" w:hAnsi="Arial" w:cs="Arial"/>
          <w:i/>
          <w:iCs/>
          <w:noProof/>
          <w:kern w:val="0"/>
        </w:rPr>
        <w:t>Self-Monitoring Foci , Speed , and the Relationship with Pausing Behavior in an EFL Context</w:t>
      </w:r>
      <w:r w:rsidR="00EA7D2A" w:rsidRPr="00EA7D2A">
        <w:rPr>
          <w:rFonts w:ascii="Arial" w:hAnsi="Arial" w:cs="Arial"/>
          <w:noProof/>
          <w:kern w:val="0"/>
        </w:rPr>
        <w:t xml:space="preserve">. </w:t>
      </w:r>
      <w:r w:rsidR="00EA7D2A" w:rsidRPr="00EA7D2A">
        <w:rPr>
          <w:rFonts w:ascii="Arial" w:hAnsi="Arial" w:cs="Arial"/>
          <w:i/>
          <w:iCs/>
          <w:noProof/>
          <w:kern w:val="0"/>
        </w:rPr>
        <w:t>December</w:t>
      </w:r>
      <w:r w:rsidR="00EA7D2A" w:rsidRPr="00EA7D2A">
        <w:rPr>
          <w:rFonts w:ascii="Arial" w:hAnsi="Arial" w:cs="Arial"/>
          <w:noProof/>
          <w:kern w:val="0"/>
        </w:rPr>
        <w:t>, 1–17. https://doi.org/10.1177/21582440241289985</w:t>
      </w:r>
    </w:p>
    <w:p w14:paraId="4BE50C8B"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Bakhtiyarovich, N. B. (2025). </w:t>
      </w:r>
      <w:r w:rsidRPr="00EA7D2A">
        <w:rPr>
          <w:rFonts w:ascii="Arial" w:hAnsi="Arial" w:cs="Arial"/>
          <w:i/>
          <w:iCs/>
          <w:noProof/>
          <w:kern w:val="0"/>
        </w:rPr>
        <w:t>COGNITIVE AND TECHNOLOGICAL STRATEGIES FOR DEVELOPING SPEAKING FLUENCY IN EFL LEARNERS</w:t>
      </w:r>
      <w:r w:rsidRPr="00EA7D2A">
        <w:rPr>
          <w:rFonts w:ascii="Arial" w:hAnsi="Arial" w:cs="Arial"/>
          <w:noProof/>
          <w:kern w:val="0"/>
        </w:rPr>
        <w:t xml:space="preserve">. </w:t>
      </w:r>
      <w:r w:rsidRPr="00EA7D2A">
        <w:rPr>
          <w:rFonts w:ascii="Arial" w:hAnsi="Arial" w:cs="Arial"/>
          <w:i/>
          <w:iCs/>
          <w:noProof/>
          <w:kern w:val="0"/>
        </w:rPr>
        <w:t>02</w:t>
      </w:r>
      <w:r w:rsidRPr="00EA7D2A">
        <w:rPr>
          <w:rFonts w:ascii="Arial" w:hAnsi="Arial" w:cs="Arial"/>
          <w:noProof/>
          <w:kern w:val="0"/>
        </w:rPr>
        <w:t>(08), 69–72. https://doi.org/10.70728/tech.v2.i08.025</w:t>
      </w:r>
    </w:p>
    <w:p w14:paraId="2D1F20BD"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Chih-chung, L., &amp; Fu-yun, Y. (2025). Social Sciences &amp; Humanities Open Impact of scaffold structures on student-generated questions in English grammar learning. </w:t>
      </w:r>
      <w:r w:rsidRPr="00EA7D2A">
        <w:rPr>
          <w:rFonts w:ascii="Arial" w:hAnsi="Arial" w:cs="Arial"/>
          <w:i/>
          <w:iCs/>
          <w:noProof/>
          <w:kern w:val="0"/>
        </w:rPr>
        <w:t>Social Sciences &amp; Humanities Open</w:t>
      </w:r>
      <w:r w:rsidRPr="00EA7D2A">
        <w:rPr>
          <w:rFonts w:ascii="Arial" w:hAnsi="Arial" w:cs="Arial"/>
          <w:noProof/>
          <w:kern w:val="0"/>
        </w:rPr>
        <w:t xml:space="preserve">, </w:t>
      </w:r>
      <w:r w:rsidRPr="00EA7D2A">
        <w:rPr>
          <w:rFonts w:ascii="Arial" w:hAnsi="Arial" w:cs="Arial"/>
          <w:i/>
          <w:iCs/>
          <w:noProof/>
          <w:kern w:val="0"/>
        </w:rPr>
        <w:t>12</w:t>
      </w:r>
      <w:r w:rsidRPr="00EA7D2A">
        <w:rPr>
          <w:rFonts w:ascii="Arial" w:hAnsi="Arial" w:cs="Arial"/>
          <w:noProof/>
          <w:kern w:val="0"/>
        </w:rPr>
        <w:t>(1), 102126. https://doi.org/10.1016/j.ssaho.2025.102126</w:t>
      </w:r>
    </w:p>
    <w:p w14:paraId="1E37D03F"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Ellis, R. (2015). </w:t>
      </w:r>
      <w:r w:rsidRPr="00EA7D2A">
        <w:rPr>
          <w:rFonts w:ascii="Arial" w:hAnsi="Arial" w:cs="Arial"/>
          <w:i/>
          <w:iCs/>
          <w:noProof/>
          <w:kern w:val="0"/>
        </w:rPr>
        <w:t>language teaching</w:t>
      </w:r>
      <w:r w:rsidRPr="00EA7D2A">
        <w:rPr>
          <w:rFonts w:ascii="Arial" w:hAnsi="Arial" w:cs="Arial"/>
          <w:noProof/>
          <w:kern w:val="0"/>
        </w:rPr>
        <w:t xml:space="preserve">. </w:t>
      </w:r>
      <w:r w:rsidRPr="00EA7D2A">
        <w:rPr>
          <w:rFonts w:ascii="Arial" w:hAnsi="Arial" w:cs="Arial"/>
          <w:i/>
          <w:iCs/>
          <w:noProof/>
          <w:kern w:val="0"/>
        </w:rPr>
        <w:t>1</w:t>
      </w:r>
      <w:r w:rsidRPr="00EA7D2A">
        <w:rPr>
          <w:rFonts w:ascii="Arial" w:hAnsi="Arial" w:cs="Arial"/>
          <w:noProof/>
          <w:kern w:val="0"/>
        </w:rPr>
        <w:t>(2), 1–12.</w:t>
      </w:r>
    </w:p>
    <w:p w14:paraId="5E3CD5B4"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Hasyanah, H., Alawiyah, T., Nasution, R., Lestari, D., &amp; Lubis, Y. (2025). </w:t>
      </w:r>
      <w:r w:rsidRPr="00EA7D2A">
        <w:rPr>
          <w:rFonts w:ascii="Arial" w:hAnsi="Arial" w:cs="Arial"/>
          <w:i/>
          <w:iCs/>
          <w:noProof/>
          <w:kern w:val="0"/>
        </w:rPr>
        <w:t>The Role of Psycholinguistic in Understanding Language Learning Errors</w:t>
      </w:r>
      <w:r w:rsidRPr="00EA7D2A">
        <w:rPr>
          <w:rFonts w:ascii="Arial" w:hAnsi="Arial" w:cs="Arial"/>
          <w:noProof/>
          <w:kern w:val="0"/>
        </w:rPr>
        <w:t xml:space="preserve">. </w:t>
      </w:r>
      <w:r w:rsidRPr="00EA7D2A">
        <w:rPr>
          <w:rFonts w:ascii="Arial" w:hAnsi="Arial" w:cs="Arial"/>
          <w:i/>
          <w:iCs/>
          <w:noProof/>
          <w:kern w:val="0"/>
        </w:rPr>
        <w:t>9</w:t>
      </w:r>
      <w:r w:rsidRPr="00EA7D2A">
        <w:rPr>
          <w:rFonts w:ascii="Arial" w:hAnsi="Arial" w:cs="Arial"/>
          <w:noProof/>
          <w:kern w:val="0"/>
        </w:rPr>
        <w:t>, 35722–35729.</w:t>
      </w:r>
    </w:p>
    <w:p w14:paraId="5EDF4BE8"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Irulappan, S. (2025). </w:t>
      </w:r>
      <w:r w:rsidRPr="00EA7D2A">
        <w:rPr>
          <w:rFonts w:ascii="Arial" w:hAnsi="Arial" w:cs="Arial"/>
          <w:i/>
          <w:iCs/>
          <w:noProof/>
          <w:kern w:val="0"/>
        </w:rPr>
        <w:t>Euro-Global Journal of Linguistics and Language Education</w:t>
      </w:r>
      <w:r w:rsidRPr="00EA7D2A">
        <w:rPr>
          <w:rFonts w:ascii="Arial" w:hAnsi="Arial" w:cs="Arial"/>
          <w:noProof/>
          <w:kern w:val="0"/>
        </w:rPr>
        <w:t xml:space="preserve">. </w:t>
      </w:r>
      <w:r w:rsidRPr="00EA7D2A">
        <w:rPr>
          <w:rFonts w:ascii="Arial" w:hAnsi="Arial" w:cs="Arial"/>
          <w:i/>
          <w:iCs/>
          <w:noProof/>
          <w:kern w:val="0"/>
        </w:rPr>
        <w:t>2</w:t>
      </w:r>
      <w:r w:rsidRPr="00EA7D2A">
        <w:rPr>
          <w:rFonts w:ascii="Arial" w:hAnsi="Arial" w:cs="Arial"/>
          <w:noProof/>
          <w:kern w:val="0"/>
        </w:rPr>
        <w:t>(5), 4–19.</w:t>
      </w:r>
    </w:p>
    <w:p w14:paraId="376FE43D"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Ismahani, S., Nasution, S., Ummi, R., &amp; Nasution, T. (2024). </w:t>
      </w:r>
      <w:r w:rsidRPr="00EA7D2A">
        <w:rPr>
          <w:rFonts w:ascii="Arial" w:hAnsi="Arial" w:cs="Arial"/>
          <w:i/>
          <w:iCs/>
          <w:noProof/>
          <w:kern w:val="0"/>
        </w:rPr>
        <w:t>Contrastive and Error Analysis of Indonesian Learners ’ Tense and Aspect Usage in English Writing</w:t>
      </w:r>
      <w:r w:rsidRPr="00EA7D2A">
        <w:rPr>
          <w:rFonts w:ascii="Arial" w:hAnsi="Arial" w:cs="Arial"/>
          <w:noProof/>
          <w:kern w:val="0"/>
        </w:rPr>
        <w:t xml:space="preserve">. </w:t>
      </w:r>
      <w:r w:rsidRPr="00EA7D2A">
        <w:rPr>
          <w:rFonts w:ascii="Arial" w:hAnsi="Arial" w:cs="Arial"/>
          <w:i/>
          <w:iCs/>
          <w:noProof/>
          <w:kern w:val="0"/>
        </w:rPr>
        <w:t>1957</w:t>
      </w:r>
      <w:r w:rsidRPr="00EA7D2A">
        <w:rPr>
          <w:rFonts w:ascii="Arial" w:hAnsi="Arial" w:cs="Arial"/>
          <w:noProof/>
          <w:kern w:val="0"/>
        </w:rPr>
        <w:t>.</w:t>
      </w:r>
    </w:p>
    <w:p w14:paraId="5A93D3A5"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Journal, C., Social, O. F., &amp; Review, S. (2025). </w:t>
      </w:r>
      <w:r w:rsidRPr="00EA7D2A">
        <w:rPr>
          <w:rFonts w:ascii="Arial" w:hAnsi="Arial" w:cs="Arial"/>
          <w:i/>
          <w:iCs/>
          <w:noProof/>
          <w:kern w:val="0"/>
        </w:rPr>
        <w:t>THE IMPACT OF ANXIETY AND COGNITIVE LOAD ON ENGLISH SPEAKING</w:t>
      </w:r>
      <w:r w:rsidRPr="00EA7D2A">
        <w:rPr>
          <w:rFonts w:ascii="Arial" w:hAnsi="Arial" w:cs="Arial"/>
          <w:noProof/>
          <w:kern w:val="0"/>
        </w:rPr>
        <w:t xml:space="preserve">. </w:t>
      </w:r>
      <w:r w:rsidRPr="00EA7D2A">
        <w:rPr>
          <w:rFonts w:ascii="Arial" w:hAnsi="Arial" w:cs="Arial"/>
          <w:i/>
          <w:iCs/>
          <w:noProof/>
          <w:kern w:val="0"/>
        </w:rPr>
        <w:t>03</w:t>
      </w:r>
      <w:r w:rsidRPr="00EA7D2A">
        <w:rPr>
          <w:rFonts w:ascii="Arial" w:hAnsi="Arial" w:cs="Arial"/>
          <w:noProof/>
          <w:kern w:val="0"/>
        </w:rPr>
        <w:t>(04), 1633–1645.</w:t>
      </w:r>
    </w:p>
    <w:p w14:paraId="742B58D3"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Kalimantan, S. (2020). </w:t>
      </w:r>
      <w:r w:rsidRPr="00EA7D2A">
        <w:rPr>
          <w:rFonts w:ascii="Arial" w:hAnsi="Arial" w:cs="Arial"/>
          <w:i/>
          <w:iCs/>
          <w:noProof/>
          <w:kern w:val="0"/>
        </w:rPr>
        <w:t xml:space="preserve">EFL Learners ’ Problems in Using Tenses : An Insight for </w:t>
      </w:r>
      <w:r w:rsidRPr="00EA7D2A">
        <w:rPr>
          <w:rFonts w:ascii="Arial" w:hAnsi="Arial" w:cs="Arial"/>
          <w:i/>
          <w:iCs/>
          <w:noProof/>
          <w:kern w:val="0"/>
        </w:rPr>
        <w:lastRenderedPageBreak/>
        <w:t>Grammar Teaching</w:t>
      </w:r>
      <w:r w:rsidRPr="00EA7D2A">
        <w:rPr>
          <w:rFonts w:ascii="Arial" w:hAnsi="Arial" w:cs="Arial"/>
          <w:noProof/>
          <w:kern w:val="0"/>
        </w:rPr>
        <w:t xml:space="preserve">. </w:t>
      </w:r>
      <w:r w:rsidRPr="00EA7D2A">
        <w:rPr>
          <w:rFonts w:ascii="Arial" w:hAnsi="Arial" w:cs="Arial"/>
          <w:i/>
          <w:iCs/>
          <w:noProof/>
          <w:kern w:val="0"/>
        </w:rPr>
        <w:t>1</w:t>
      </w:r>
      <w:r w:rsidRPr="00EA7D2A">
        <w:rPr>
          <w:rFonts w:ascii="Arial" w:hAnsi="Arial" w:cs="Arial"/>
          <w:noProof/>
          <w:kern w:val="0"/>
        </w:rPr>
        <w:t>, 86–95.</w:t>
      </w:r>
    </w:p>
    <w:p w14:paraId="3DFB8878"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Li, H. (2025). </w:t>
      </w:r>
      <w:r w:rsidRPr="00EA7D2A">
        <w:rPr>
          <w:rFonts w:ascii="Arial" w:hAnsi="Arial" w:cs="Arial"/>
          <w:i/>
          <w:iCs/>
          <w:noProof/>
          <w:kern w:val="0"/>
        </w:rPr>
        <w:t>Exploring the Relationship between Language Anxiety and the Monitor Hypothesis in ESL Learners</w:t>
      </w:r>
      <w:r w:rsidRPr="00EA7D2A">
        <w:rPr>
          <w:rFonts w:ascii="Arial" w:hAnsi="Arial" w:cs="Arial"/>
          <w:noProof/>
          <w:kern w:val="0"/>
        </w:rPr>
        <w:t>. 133–138. https://doi.org/10.63313/LLCS.9019</w:t>
      </w:r>
    </w:p>
    <w:p w14:paraId="75AF3A22"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Merlin, J. M. Q. (n.d.). </w:t>
      </w:r>
      <w:r w:rsidRPr="00EA7D2A">
        <w:rPr>
          <w:rFonts w:ascii="Arial" w:hAnsi="Arial" w:cs="Arial"/>
          <w:i/>
          <w:iCs/>
          <w:noProof/>
          <w:kern w:val="0"/>
        </w:rPr>
        <w:t>Oral Corrective Feedback Strategies and Their Influence on Speech Fluency and Accuracy in English as a Foreign Language (EFL) Classes in University Contexts</w:t>
      </w:r>
      <w:r w:rsidRPr="00EA7D2A">
        <w:rPr>
          <w:rFonts w:ascii="Arial" w:hAnsi="Arial" w:cs="Arial"/>
          <w:noProof/>
          <w:kern w:val="0"/>
        </w:rPr>
        <w:t xml:space="preserve">. </w:t>
      </w:r>
      <w:r w:rsidRPr="00EA7D2A">
        <w:rPr>
          <w:rFonts w:ascii="Arial" w:hAnsi="Arial" w:cs="Arial"/>
          <w:i/>
          <w:iCs/>
          <w:noProof/>
          <w:kern w:val="0"/>
        </w:rPr>
        <w:t>Vol. 2 No. 2 (2025)</w:t>
      </w:r>
      <w:r w:rsidRPr="00EA7D2A">
        <w:rPr>
          <w:rFonts w:ascii="Arial" w:hAnsi="Arial" w:cs="Arial"/>
          <w:noProof/>
          <w:kern w:val="0"/>
        </w:rPr>
        <w:t>. https://doi.org/https://doi.org/10.64325/6epah728</w:t>
      </w:r>
    </w:p>
    <w:p w14:paraId="5E5622AF"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Mora-plaza, I., &amp; Mora, J. C. (2024). </w:t>
      </w:r>
      <w:r w:rsidRPr="00EA7D2A">
        <w:rPr>
          <w:rFonts w:ascii="Arial" w:hAnsi="Arial" w:cs="Arial"/>
          <w:i/>
          <w:iCs/>
          <w:noProof/>
          <w:kern w:val="0"/>
        </w:rPr>
        <w:t>Is L2 pronunciation affected by increased task complexity in pronunciation-unfocused speaking tasks ?</w:t>
      </w:r>
      <w:r w:rsidRPr="00EA7D2A">
        <w:rPr>
          <w:rFonts w:ascii="Arial" w:hAnsi="Arial" w:cs="Arial"/>
          <w:noProof/>
          <w:kern w:val="0"/>
        </w:rPr>
        <w:t xml:space="preserve"> 1117–1149. https://doi.org/10.1017/S0272263124000470</w:t>
      </w:r>
    </w:p>
    <w:p w14:paraId="297D88FD"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Nasir, Y. M., &amp; Badaru, A. (2025). </w:t>
      </w:r>
      <w:r w:rsidRPr="00EA7D2A">
        <w:rPr>
          <w:rFonts w:ascii="Arial" w:hAnsi="Arial" w:cs="Arial"/>
          <w:i/>
          <w:iCs/>
          <w:noProof/>
          <w:kern w:val="0"/>
        </w:rPr>
        <w:t>International Journal of Library Science &amp; Education Research Published by Cambridge Research and Publications</w:t>
      </w:r>
      <w:r w:rsidRPr="00EA7D2A">
        <w:rPr>
          <w:rFonts w:ascii="Arial" w:hAnsi="Arial" w:cs="Arial"/>
          <w:noProof/>
          <w:kern w:val="0"/>
        </w:rPr>
        <w:t xml:space="preserve">. </w:t>
      </w:r>
      <w:r w:rsidRPr="00EA7D2A">
        <w:rPr>
          <w:rFonts w:ascii="Arial" w:hAnsi="Arial" w:cs="Arial"/>
          <w:i/>
          <w:iCs/>
          <w:noProof/>
          <w:kern w:val="0"/>
        </w:rPr>
        <w:t>8</w:t>
      </w:r>
      <w:r w:rsidRPr="00EA7D2A">
        <w:rPr>
          <w:rFonts w:ascii="Arial" w:hAnsi="Arial" w:cs="Arial"/>
          <w:noProof/>
          <w:kern w:val="0"/>
        </w:rPr>
        <w:t>(8), 169–191.</w:t>
      </w:r>
    </w:p>
    <w:p w14:paraId="4FFD1D96"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Nur, E., Khasanah, U., &amp; Sutrisno, A. (2022). </w:t>
      </w:r>
      <w:r w:rsidRPr="00EA7D2A">
        <w:rPr>
          <w:rFonts w:ascii="Arial" w:hAnsi="Arial" w:cs="Arial"/>
          <w:i/>
          <w:iCs/>
          <w:noProof/>
          <w:kern w:val="0"/>
        </w:rPr>
        <w:t>REALIZATION OF THE USE OF THE TENSE ASPECTS IN ORAL</w:t>
      </w:r>
      <w:r w:rsidRPr="00EA7D2A">
        <w:rPr>
          <w:rFonts w:ascii="Arial" w:hAnsi="Arial" w:cs="Arial"/>
          <w:noProof/>
          <w:kern w:val="0"/>
        </w:rPr>
        <w:t xml:space="preserve">. </w:t>
      </w:r>
      <w:r w:rsidRPr="00EA7D2A">
        <w:rPr>
          <w:rFonts w:ascii="Arial" w:hAnsi="Arial" w:cs="Arial"/>
          <w:i/>
          <w:iCs/>
          <w:noProof/>
          <w:kern w:val="0"/>
        </w:rPr>
        <w:t>3</w:t>
      </w:r>
      <w:r w:rsidRPr="00EA7D2A">
        <w:rPr>
          <w:rFonts w:ascii="Arial" w:hAnsi="Arial" w:cs="Arial"/>
          <w:noProof/>
          <w:kern w:val="0"/>
        </w:rPr>
        <w:t>, 411–423.</w:t>
      </w:r>
    </w:p>
    <w:p w14:paraId="3C64EEDD"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Rad, N. F., Portugal-toro, A., García-peñalvo, F. J., &amp; Portugal-toro, A. (2025). </w:t>
      </w:r>
      <w:r w:rsidRPr="00EA7D2A">
        <w:rPr>
          <w:rFonts w:ascii="Arial" w:hAnsi="Arial" w:cs="Arial"/>
          <w:i/>
          <w:iCs/>
          <w:noProof/>
          <w:kern w:val="0"/>
        </w:rPr>
        <w:t>Cognitive and affective processes in second language oral communication : a mixed methods research</w:t>
      </w:r>
      <w:r w:rsidRPr="00EA7D2A">
        <w:rPr>
          <w:rFonts w:ascii="Arial" w:hAnsi="Arial" w:cs="Arial"/>
          <w:noProof/>
          <w:kern w:val="0"/>
        </w:rPr>
        <w:t xml:space="preserve">. </w:t>
      </w:r>
      <w:r w:rsidRPr="00EA7D2A">
        <w:rPr>
          <w:rFonts w:ascii="Arial" w:hAnsi="Arial" w:cs="Arial"/>
          <w:i/>
          <w:iCs/>
          <w:noProof/>
          <w:kern w:val="0"/>
        </w:rPr>
        <w:t>July</w:t>
      </w:r>
      <w:r w:rsidRPr="00EA7D2A">
        <w:rPr>
          <w:rFonts w:ascii="Arial" w:hAnsi="Arial" w:cs="Arial"/>
          <w:noProof/>
          <w:kern w:val="0"/>
        </w:rPr>
        <w:t>. https://doi.org/10.3389/feduc.2025.1571099</w:t>
      </w:r>
    </w:p>
    <w:p w14:paraId="072C794B"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Salaberry, M. R. (2024). Thirty years of studying lexical aspect in L2 acquisition : Moving towards an expansive research agenda. </w:t>
      </w:r>
      <w:r w:rsidRPr="00EA7D2A">
        <w:rPr>
          <w:rFonts w:ascii="Arial" w:hAnsi="Arial" w:cs="Arial"/>
          <w:i/>
          <w:iCs/>
          <w:noProof/>
          <w:kern w:val="0"/>
        </w:rPr>
        <w:t>Ampersand</w:t>
      </w:r>
      <w:r w:rsidRPr="00EA7D2A">
        <w:rPr>
          <w:rFonts w:ascii="Arial" w:hAnsi="Arial" w:cs="Arial"/>
          <w:noProof/>
          <w:kern w:val="0"/>
        </w:rPr>
        <w:t xml:space="preserve">, </w:t>
      </w:r>
      <w:r w:rsidRPr="00EA7D2A">
        <w:rPr>
          <w:rFonts w:ascii="Arial" w:hAnsi="Arial" w:cs="Arial"/>
          <w:i/>
          <w:iCs/>
          <w:noProof/>
          <w:kern w:val="0"/>
        </w:rPr>
        <w:t>13</w:t>
      </w:r>
      <w:r w:rsidRPr="00EA7D2A">
        <w:rPr>
          <w:rFonts w:ascii="Arial" w:hAnsi="Arial" w:cs="Arial"/>
          <w:noProof/>
          <w:kern w:val="0"/>
        </w:rPr>
        <w:t>(January), 100185. https://doi.org/10.1016/j.amper.2024.100185</w:t>
      </w:r>
    </w:p>
    <w:p w14:paraId="5035E007"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Suzuki, Y., Jeong, H., Cui, H., &amp; Okamoto, K. (2023). </w:t>
      </w:r>
      <w:r w:rsidRPr="00EA7D2A">
        <w:rPr>
          <w:rFonts w:ascii="Arial" w:hAnsi="Arial" w:cs="Arial"/>
          <w:i/>
          <w:iCs/>
          <w:noProof/>
          <w:kern w:val="0"/>
        </w:rPr>
        <w:t>Research Methods in Applied Linguistics fMRI reveals the dynamic interface between explicit and implicit knowledge recruited during elicited imitation task</w:t>
      </w:r>
      <w:r w:rsidRPr="00EA7D2A">
        <w:rPr>
          <w:rFonts w:ascii="Arial" w:hAnsi="Arial" w:cs="Arial"/>
          <w:noProof/>
          <w:kern w:val="0"/>
        </w:rPr>
        <w:t xml:space="preserve">. </w:t>
      </w:r>
      <w:r w:rsidRPr="00EA7D2A">
        <w:rPr>
          <w:rFonts w:ascii="Arial" w:hAnsi="Arial" w:cs="Arial"/>
          <w:i/>
          <w:iCs/>
          <w:noProof/>
          <w:kern w:val="0"/>
        </w:rPr>
        <w:t>2</w:t>
      </w:r>
      <w:r w:rsidRPr="00EA7D2A">
        <w:rPr>
          <w:rFonts w:ascii="Arial" w:hAnsi="Arial" w:cs="Arial"/>
          <w:noProof/>
          <w:kern w:val="0"/>
        </w:rPr>
        <w:t>(April). https://doi.org/10.1016/j.rmal.2023.100051</w:t>
      </w:r>
    </w:p>
    <w:p w14:paraId="3DE045B5"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kern w:val="0"/>
        </w:rPr>
      </w:pPr>
      <w:r w:rsidRPr="00EA7D2A">
        <w:rPr>
          <w:rFonts w:ascii="Arial" w:hAnsi="Arial" w:cs="Arial"/>
          <w:noProof/>
          <w:kern w:val="0"/>
        </w:rPr>
        <w:t xml:space="preserve">Suzuki, Y., Maie, R., &amp; Hui, B. (2026). </w:t>
      </w:r>
      <w:r w:rsidRPr="00EA7D2A">
        <w:rPr>
          <w:rFonts w:ascii="Arial" w:hAnsi="Arial" w:cs="Arial"/>
          <w:i/>
          <w:iCs/>
          <w:noProof/>
          <w:kern w:val="0"/>
        </w:rPr>
        <w:t>Research timeline : Automatization in second language learning</w:t>
      </w:r>
      <w:r w:rsidRPr="00EA7D2A">
        <w:rPr>
          <w:rFonts w:ascii="Arial" w:hAnsi="Arial" w:cs="Arial"/>
          <w:noProof/>
          <w:kern w:val="0"/>
        </w:rPr>
        <w:t xml:space="preserve">. </w:t>
      </w:r>
      <w:r w:rsidRPr="00EA7D2A">
        <w:rPr>
          <w:rFonts w:ascii="Arial" w:hAnsi="Arial" w:cs="Arial"/>
          <w:i/>
          <w:iCs/>
          <w:noProof/>
          <w:kern w:val="0"/>
        </w:rPr>
        <w:t>2025</w:t>
      </w:r>
      <w:r w:rsidRPr="00EA7D2A">
        <w:rPr>
          <w:rFonts w:ascii="Arial" w:hAnsi="Arial" w:cs="Arial"/>
          <w:noProof/>
          <w:kern w:val="0"/>
        </w:rPr>
        <w:t>, 1–20. https://doi.org/10.1017/S026144482500059X</w:t>
      </w:r>
    </w:p>
    <w:p w14:paraId="5FDF1070" w14:textId="77777777" w:rsidR="00EA7D2A" w:rsidRPr="00EA7D2A" w:rsidRDefault="00EA7D2A" w:rsidP="00EA7D2A">
      <w:pPr>
        <w:widowControl w:val="0"/>
        <w:autoSpaceDE w:val="0"/>
        <w:autoSpaceDN w:val="0"/>
        <w:adjustRightInd w:val="0"/>
        <w:spacing w:line="360" w:lineRule="auto"/>
        <w:ind w:left="480" w:hanging="480"/>
        <w:rPr>
          <w:rFonts w:ascii="Arial" w:hAnsi="Arial" w:cs="Arial"/>
          <w:noProof/>
        </w:rPr>
      </w:pPr>
      <w:r w:rsidRPr="00EA7D2A">
        <w:rPr>
          <w:rFonts w:ascii="Arial" w:hAnsi="Arial" w:cs="Arial"/>
          <w:noProof/>
          <w:kern w:val="0"/>
        </w:rPr>
        <w:lastRenderedPageBreak/>
        <w:t xml:space="preserve">Tzampazi, S. G. (2025). </w:t>
      </w:r>
      <w:r w:rsidRPr="00EA7D2A">
        <w:rPr>
          <w:rFonts w:ascii="Arial" w:hAnsi="Arial" w:cs="Arial"/>
          <w:i/>
          <w:iCs/>
          <w:noProof/>
          <w:kern w:val="0"/>
        </w:rPr>
        <w:t>The effects of deductive , inductive , and a combination of both types of grammar instruction in pre-sessional classes in higher education</w:t>
      </w:r>
      <w:r w:rsidRPr="00EA7D2A">
        <w:rPr>
          <w:rFonts w:ascii="Arial" w:hAnsi="Arial" w:cs="Arial"/>
          <w:noProof/>
          <w:kern w:val="0"/>
        </w:rPr>
        <w:t xml:space="preserve">. </w:t>
      </w:r>
      <w:r w:rsidRPr="00EA7D2A">
        <w:rPr>
          <w:rFonts w:ascii="Arial" w:hAnsi="Arial" w:cs="Arial"/>
          <w:i/>
          <w:iCs/>
          <w:noProof/>
          <w:kern w:val="0"/>
        </w:rPr>
        <w:t>34</w:t>
      </w:r>
      <w:r w:rsidRPr="00EA7D2A">
        <w:rPr>
          <w:rFonts w:ascii="Arial" w:hAnsi="Arial" w:cs="Arial"/>
          <w:noProof/>
          <w:kern w:val="0"/>
        </w:rPr>
        <w:t>(01).</w:t>
      </w:r>
    </w:p>
    <w:p w14:paraId="257892CF" w14:textId="77777777" w:rsidR="003724B9" w:rsidRPr="00B525D1" w:rsidRDefault="005A73AC" w:rsidP="00B525D1">
      <w:pPr>
        <w:spacing w:line="360" w:lineRule="auto"/>
        <w:jc w:val="center"/>
        <w:rPr>
          <w:rFonts w:ascii="Arial" w:hAnsi="Arial" w:cs="Arial"/>
          <w:sz w:val="18"/>
          <w:szCs w:val="18"/>
          <w:lang w:val="en-ID"/>
        </w:rPr>
      </w:pPr>
      <w:r w:rsidRPr="00B525D1">
        <w:rPr>
          <w:rFonts w:ascii="Arial" w:hAnsi="Arial" w:cs="Arial"/>
        </w:rPr>
        <w:fldChar w:fldCharType="end"/>
      </w:r>
      <w:r w:rsidR="003724B9" w:rsidRPr="00B525D1">
        <w:rPr>
          <w:rFonts w:ascii="Arial" w:hAnsi="Arial" w:cs="Arial"/>
          <w:b/>
          <w:bCs/>
          <w:sz w:val="18"/>
          <w:szCs w:val="18"/>
          <w:lang w:val="en-ID"/>
        </w:rPr>
        <w:t>3rd INTERNATIONAL CONFERENCE ON ENGLISH LANGUAGE EDUCATION FOR UNDERGRADUATE STUDENTS</w:t>
      </w:r>
    </w:p>
    <w:p w14:paraId="1DA4D123" w14:textId="77777777" w:rsidR="003724B9" w:rsidRPr="00B525D1" w:rsidRDefault="003724B9" w:rsidP="00B525D1">
      <w:pPr>
        <w:spacing w:line="360" w:lineRule="auto"/>
        <w:jc w:val="center"/>
        <w:rPr>
          <w:rFonts w:ascii="Arial" w:hAnsi="Arial" w:cs="Arial"/>
          <w:sz w:val="18"/>
          <w:szCs w:val="18"/>
          <w:lang w:val="en-ID"/>
        </w:rPr>
      </w:pPr>
      <w:r w:rsidRPr="00B525D1">
        <w:rPr>
          <w:rFonts w:ascii="Arial" w:hAnsi="Arial" w:cs="Arial"/>
          <w:i/>
          <w:iCs/>
          <w:sz w:val="18"/>
          <w:szCs w:val="18"/>
          <w:lang w:val="en-ID"/>
        </w:rPr>
        <w:t>Organised by the English Education Department, Faculty of Teacher Training and Education, Universitas Islam Kadiri © 2026</w:t>
      </w:r>
    </w:p>
    <w:p w14:paraId="2BE0CA02" w14:textId="56F7FF8F" w:rsidR="007B5658" w:rsidRPr="00B525D1" w:rsidRDefault="007B5658" w:rsidP="00B525D1">
      <w:pPr>
        <w:spacing w:line="360" w:lineRule="auto"/>
        <w:jc w:val="center"/>
        <w:rPr>
          <w:rFonts w:ascii="Arial" w:hAnsi="Arial" w:cs="Arial"/>
        </w:rPr>
      </w:pPr>
    </w:p>
    <w:sectPr w:rsidR="007B5658" w:rsidRPr="00B525D1" w:rsidSect="00B311ED">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pgNumType w:start="28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E2E45" w14:textId="77777777" w:rsidR="0063143D" w:rsidRDefault="0063143D" w:rsidP="00B311ED">
      <w:pPr>
        <w:spacing w:after="0" w:line="240" w:lineRule="auto"/>
      </w:pPr>
      <w:r>
        <w:separator/>
      </w:r>
    </w:p>
  </w:endnote>
  <w:endnote w:type="continuationSeparator" w:id="0">
    <w:p w14:paraId="104552A0" w14:textId="77777777" w:rsidR="0063143D" w:rsidRDefault="0063143D" w:rsidP="00B31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ckwell">
    <w:altName w:val="Rockwel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03BB7" w14:textId="77777777" w:rsidR="00B311ED" w:rsidRDefault="00B31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A525C" w14:textId="77777777" w:rsidR="00B311ED" w:rsidRDefault="00B311ED" w:rsidP="00B311ED">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501646AC" w14:textId="77777777" w:rsidR="00B311ED" w:rsidRDefault="00B311ED" w:rsidP="00B311E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proofErr w:type="spellStart"/>
    <w:r>
      <w:rPr>
        <w:rFonts w:ascii="Rockwell" w:eastAsia="Rockwell" w:hAnsi="Rockwell" w:cs="Rockwell"/>
        <w:color w:val="000000"/>
        <w:sz w:val="16"/>
        <w:szCs w:val="16"/>
      </w:rPr>
      <w:t>Organised</w:t>
    </w:r>
    <w:proofErr w:type="spellEnd"/>
    <w:r>
      <w:rPr>
        <w:rFonts w:ascii="Rockwell" w:eastAsia="Rockwell" w:hAnsi="Rockwell" w:cs="Rockwell"/>
        <w:color w:val="000000"/>
        <w:sz w:val="16"/>
        <w:szCs w:val="16"/>
      </w:rPr>
      <w:t xml:space="preserve"> by the English Education Department, Faculty of Teacher Training and Education, </w:t>
    </w:r>
  </w:p>
  <w:p w14:paraId="01A2179E" w14:textId="77777777" w:rsidR="00B311ED" w:rsidRDefault="00B311ED" w:rsidP="00B311ED">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3E448E43" w14:textId="3C5C6C4E" w:rsidR="00B311ED" w:rsidRPr="00B311ED" w:rsidRDefault="00B311ED" w:rsidP="00B311ED">
    <w:pPr>
      <w:pBdr>
        <w:top w:val="nil"/>
        <w:left w:val="nil"/>
        <w:bottom w:val="nil"/>
        <w:right w:val="nil"/>
        <w:between w:val="nil"/>
      </w:pBdr>
      <w:tabs>
        <w:tab w:val="right" w:pos="9070"/>
      </w:tabs>
      <w:ind w:hanging="2"/>
      <w:jc w:val="center"/>
      <w:rPr>
        <w:rFonts w:ascii="Arial" w:eastAsia="Rockwell" w:hAnsi="Arial" w:cs="Arial"/>
        <w:color w:val="000000"/>
      </w:rPr>
    </w:pPr>
    <w:r w:rsidRPr="00B311ED">
      <w:rPr>
        <w:rFonts w:ascii="Arial" w:eastAsia="Rockwell" w:hAnsi="Arial" w:cs="Arial"/>
        <w:color w:val="000000"/>
      </w:rPr>
      <w:fldChar w:fldCharType="begin"/>
    </w:r>
    <w:r w:rsidRPr="00B311ED">
      <w:rPr>
        <w:rFonts w:ascii="Arial" w:eastAsia="Rockwell" w:hAnsi="Arial" w:cs="Arial"/>
        <w:color w:val="000000"/>
      </w:rPr>
      <w:instrText xml:space="preserve"> PAGE   \* MERGEFORMAT </w:instrText>
    </w:r>
    <w:r w:rsidRPr="00B311ED">
      <w:rPr>
        <w:rFonts w:ascii="Arial" w:eastAsia="Rockwell" w:hAnsi="Arial" w:cs="Arial"/>
        <w:color w:val="000000"/>
      </w:rPr>
      <w:fldChar w:fldCharType="separate"/>
    </w:r>
    <w:r w:rsidRPr="00B311ED">
      <w:rPr>
        <w:rFonts w:ascii="Arial" w:eastAsia="Rockwell" w:hAnsi="Arial" w:cs="Arial"/>
        <w:noProof/>
        <w:color w:val="000000"/>
      </w:rPr>
      <w:t>1</w:t>
    </w:r>
    <w:r w:rsidRPr="00B311ED">
      <w:rPr>
        <w:rFonts w:ascii="Arial" w:eastAsia="Rockwell" w:hAnsi="Arial" w:cs="Arial"/>
        <w:noProof/>
        <w:color w:val="000000"/>
      </w:rPr>
      <w:fldChar w:fldCharType="end"/>
    </w:r>
  </w:p>
  <w:p w14:paraId="141166D7" w14:textId="77777777" w:rsidR="00B311ED" w:rsidRPr="00B311ED" w:rsidRDefault="00B311ED">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A63DB" w14:textId="77777777" w:rsidR="00B311ED" w:rsidRDefault="00B31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80C60" w14:textId="77777777" w:rsidR="0063143D" w:rsidRDefault="0063143D" w:rsidP="00B311ED">
      <w:pPr>
        <w:spacing w:after="0" w:line="240" w:lineRule="auto"/>
      </w:pPr>
      <w:r>
        <w:separator/>
      </w:r>
    </w:p>
  </w:footnote>
  <w:footnote w:type="continuationSeparator" w:id="0">
    <w:p w14:paraId="503789C1" w14:textId="77777777" w:rsidR="0063143D" w:rsidRDefault="0063143D" w:rsidP="00B31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0639" w14:textId="77777777" w:rsidR="00B311ED" w:rsidRDefault="00B311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45D73" w14:textId="77777777" w:rsidR="00B311ED" w:rsidRDefault="00B311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21CE9" w14:textId="77777777" w:rsidR="00B311ED" w:rsidRDefault="00B31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17C2"/>
    <w:multiLevelType w:val="multilevel"/>
    <w:tmpl w:val="47865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530756"/>
    <w:multiLevelType w:val="multilevel"/>
    <w:tmpl w:val="33C6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AB321F8"/>
    <w:multiLevelType w:val="multilevel"/>
    <w:tmpl w:val="B4280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2636DA"/>
    <w:multiLevelType w:val="hybridMultilevel"/>
    <w:tmpl w:val="89529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6268505">
    <w:abstractNumId w:val="1"/>
  </w:num>
  <w:num w:numId="2" w16cid:durableId="1772118320">
    <w:abstractNumId w:val="0"/>
  </w:num>
  <w:num w:numId="3" w16cid:durableId="1031302015">
    <w:abstractNumId w:val="2"/>
  </w:num>
  <w:num w:numId="4" w16cid:durableId="1090078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82"/>
    <w:rsid w:val="000301E1"/>
    <w:rsid w:val="000315EB"/>
    <w:rsid w:val="000E50B2"/>
    <w:rsid w:val="00140354"/>
    <w:rsid w:val="00155BB5"/>
    <w:rsid w:val="001E387D"/>
    <w:rsid w:val="00291EA7"/>
    <w:rsid w:val="002923DD"/>
    <w:rsid w:val="00294ADA"/>
    <w:rsid w:val="002C1826"/>
    <w:rsid w:val="002C3E74"/>
    <w:rsid w:val="002D2E98"/>
    <w:rsid w:val="002D415F"/>
    <w:rsid w:val="002D43E7"/>
    <w:rsid w:val="002D6DDB"/>
    <w:rsid w:val="002E2364"/>
    <w:rsid w:val="002F087C"/>
    <w:rsid w:val="00330B63"/>
    <w:rsid w:val="00335551"/>
    <w:rsid w:val="003724B9"/>
    <w:rsid w:val="00391ED4"/>
    <w:rsid w:val="003A4C09"/>
    <w:rsid w:val="003D68F1"/>
    <w:rsid w:val="00433E8C"/>
    <w:rsid w:val="00462254"/>
    <w:rsid w:val="004626CD"/>
    <w:rsid w:val="004738D8"/>
    <w:rsid w:val="005A2ABD"/>
    <w:rsid w:val="005A73AC"/>
    <w:rsid w:val="005C6364"/>
    <w:rsid w:val="005D630F"/>
    <w:rsid w:val="0063143D"/>
    <w:rsid w:val="00642094"/>
    <w:rsid w:val="00681861"/>
    <w:rsid w:val="0071611B"/>
    <w:rsid w:val="007171AC"/>
    <w:rsid w:val="0073248D"/>
    <w:rsid w:val="00750F13"/>
    <w:rsid w:val="007754CA"/>
    <w:rsid w:val="00777952"/>
    <w:rsid w:val="007A4246"/>
    <w:rsid w:val="007B5658"/>
    <w:rsid w:val="007D5AFD"/>
    <w:rsid w:val="00816AA7"/>
    <w:rsid w:val="00880DC4"/>
    <w:rsid w:val="009115D7"/>
    <w:rsid w:val="00951182"/>
    <w:rsid w:val="00952BBF"/>
    <w:rsid w:val="00960CFC"/>
    <w:rsid w:val="00983948"/>
    <w:rsid w:val="009A398B"/>
    <w:rsid w:val="009C3CAB"/>
    <w:rsid w:val="009D30AB"/>
    <w:rsid w:val="00A404DF"/>
    <w:rsid w:val="00A86B68"/>
    <w:rsid w:val="00AA2E73"/>
    <w:rsid w:val="00AD1841"/>
    <w:rsid w:val="00AE3001"/>
    <w:rsid w:val="00B12EA6"/>
    <w:rsid w:val="00B20FC1"/>
    <w:rsid w:val="00B2589A"/>
    <w:rsid w:val="00B311ED"/>
    <w:rsid w:val="00B525D1"/>
    <w:rsid w:val="00BB01C7"/>
    <w:rsid w:val="00BB2C1D"/>
    <w:rsid w:val="00BD761E"/>
    <w:rsid w:val="00C31E84"/>
    <w:rsid w:val="00C540CE"/>
    <w:rsid w:val="00C67A81"/>
    <w:rsid w:val="00C771D3"/>
    <w:rsid w:val="00CB2E74"/>
    <w:rsid w:val="00CD2888"/>
    <w:rsid w:val="00D7133C"/>
    <w:rsid w:val="00D83071"/>
    <w:rsid w:val="00D87B00"/>
    <w:rsid w:val="00D93C59"/>
    <w:rsid w:val="00DA02E7"/>
    <w:rsid w:val="00DA1777"/>
    <w:rsid w:val="00DA48C1"/>
    <w:rsid w:val="00DC2EEC"/>
    <w:rsid w:val="00DD19F2"/>
    <w:rsid w:val="00DF5C5D"/>
    <w:rsid w:val="00E62CA5"/>
    <w:rsid w:val="00E84881"/>
    <w:rsid w:val="00E851D8"/>
    <w:rsid w:val="00EA7D2A"/>
    <w:rsid w:val="00EC6482"/>
    <w:rsid w:val="00F50145"/>
    <w:rsid w:val="00FF3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9EDA0"/>
  <w15:chartTrackingRefBased/>
  <w15:docId w15:val="{AB36BA1F-F927-4738-ACAA-2B2F585C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1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1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1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1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1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1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1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1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1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1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1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1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1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1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1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1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1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182"/>
    <w:rPr>
      <w:rFonts w:eastAsiaTheme="majorEastAsia" w:cstheme="majorBidi"/>
      <w:color w:val="272727" w:themeColor="text1" w:themeTint="D8"/>
    </w:rPr>
  </w:style>
  <w:style w:type="paragraph" w:styleId="Title">
    <w:name w:val="Title"/>
    <w:basedOn w:val="Normal"/>
    <w:next w:val="Normal"/>
    <w:link w:val="TitleChar"/>
    <w:uiPriority w:val="10"/>
    <w:qFormat/>
    <w:rsid w:val="009511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1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1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1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182"/>
    <w:pPr>
      <w:spacing w:before="160"/>
      <w:jc w:val="center"/>
    </w:pPr>
    <w:rPr>
      <w:i/>
      <w:iCs/>
      <w:color w:val="404040" w:themeColor="text1" w:themeTint="BF"/>
    </w:rPr>
  </w:style>
  <w:style w:type="character" w:customStyle="1" w:styleId="QuoteChar">
    <w:name w:val="Quote Char"/>
    <w:basedOn w:val="DefaultParagraphFont"/>
    <w:link w:val="Quote"/>
    <w:uiPriority w:val="29"/>
    <w:rsid w:val="00951182"/>
    <w:rPr>
      <w:i/>
      <w:iCs/>
      <w:color w:val="404040" w:themeColor="text1" w:themeTint="BF"/>
    </w:rPr>
  </w:style>
  <w:style w:type="paragraph" w:styleId="ListParagraph">
    <w:name w:val="List Paragraph"/>
    <w:basedOn w:val="Normal"/>
    <w:uiPriority w:val="34"/>
    <w:qFormat/>
    <w:rsid w:val="00951182"/>
    <w:pPr>
      <w:ind w:left="720"/>
      <w:contextualSpacing/>
    </w:pPr>
  </w:style>
  <w:style w:type="character" w:styleId="IntenseEmphasis">
    <w:name w:val="Intense Emphasis"/>
    <w:basedOn w:val="DefaultParagraphFont"/>
    <w:uiPriority w:val="21"/>
    <w:qFormat/>
    <w:rsid w:val="00951182"/>
    <w:rPr>
      <w:i/>
      <w:iCs/>
      <w:color w:val="0F4761" w:themeColor="accent1" w:themeShade="BF"/>
    </w:rPr>
  </w:style>
  <w:style w:type="paragraph" w:styleId="IntenseQuote">
    <w:name w:val="Intense Quote"/>
    <w:basedOn w:val="Normal"/>
    <w:next w:val="Normal"/>
    <w:link w:val="IntenseQuoteChar"/>
    <w:uiPriority w:val="30"/>
    <w:qFormat/>
    <w:rsid w:val="009511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182"/>
    <w:rPr>
      <w:i/>
      <w:iCs/>
      <w:color w:val="0F4761" w:themeColor="accent1" w:themeShade="BF"/>
    </w:rPr>
  </w:style>
  <w:style w:type="character" w:styleId="IntenseReference">
    <w:name w:val="Intense Reference"/>
    <w:basedOn w:val="DefaultParagraphFont"/>
    <w:uiPriority w:val="32"/>
    <w:qFormat/>
    <w:rsid w:val="00951182"/>
    <w:rPr>
      <w:b/>
      <w:bCs/>
      <w:smallCaps/>
      <w:color w:val="0F4761" w:themeColor="accent1" w:themeShade="BF"/>
      <w:spacing w:val="5"/>
    </w:rPr>
  </w:style>
  <w:style w:type="character" w:styleId="Hyperlink">
    <w:name w:val="Hyperlink"/>
    <w:basedOn w:val="DefaultParagraphFont"/>
    <w:uiPriority w:val="99"/>
    <w:unhideWhenUsed/>
    <w:rsid w:val="000E50B2"/>
    <w:rPr>
      <w:color w:val="467886" w:themeColor="hyperlink"/>
      <w:u w:val="single"/>
    </w:rPr>
  </w:style>
  <w:style w:type="character" w:styleId="UnresolvedMention">
    <w:name w:val="Unresolved Mention"/>
    <w:basedOn w:val="DefaultParagraphFont"/>
    <w:uiPriority w:val="99"/>
    <w:semiHidden/>
    <w:unhideWhenUsed/>
    <w:rsid w:val="000E50B2"/>
    <w:rPr>
      <w:color w:val="605E5C"/>
      <w:shd w:val="clear" w:color="auto" w:fill="E1DFDD"/>
    </w:rPr>
  </w:style>
  <w:style w:type="paragraph" w:styleId="NormalWeb">
    <w:name w:val="Normal (Web)"/>
    <w:basedOn w:val="Normal"/>
    <w:uiPriority w:val="99"/>
    <w:semiHidden/>
    <w:unhideWhenUsed/>
    <w:rsid w:val="00462254"/>
    <w:rPr>
      <w:rFonts w:ascii="Times New Roman" w:hAnsi="Times New Roman" w:cs="Times New Roman"/>
    </w:rPr>
  </w:style>
  <w:style w:type="paragraph" w:styleId="Header">
    <w:name w:val="header"/>
    <w:basedOn w:val="Normal"/>
    <w:link w:val="HeaderChar"/>
    <w:uiPriority w:val="99"/>
    <w:unhideWhenUsed/>
    <w:rsid w:val="00B31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1ED"/>
  </w:style>
  <w:style w:type="paragraph" w:styleId="Footer">
    <w:name w:val="footer"/>
    <w:basedOn w:val="Normal"/>
    <w:link w:val="FooterChar"/>
    <w:uiPriority w:val="99"/>
    <w:unhideWhenUsed/>
    <w:rsid w:val="00B31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C98DC-47B2-4C46-AA89-882B51AA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12</Pages>
  <Words>6287</Words>
  <Characters>35839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Nurul Wahidah</dc:creator>
  <cp:keywords/>
  <dc:description/>
  <cp:lastModifiedBy>ADMIN</cp:lastModifiedBy>
  <cp:revision>76</cp:revision>
  <dcterms:created xsi:type="dcterms:W3CDTF">2026-06-02T05:11:00Z</dcterms:created>
  <dcterms:modified xsi:type="dcterms:W3CDTF">2026-08-04T02:02:00Z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7024d76c-6c09-31bf-b72b-0f9f3f2130c5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AMA Manual of Style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APSA Style Manual revised 2018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ASA Style Guide 6th/7th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(author-date/Harvard)</vt:lpwstr>
  </property>
  <property fmtid="{D5CDD505-2E9C-101B-9397-08002B2CF9AE}" pid="17" name="Mendeley Recent Style Id 6_1">
    <vt:lpwstr>http://www.zotero.org/styles/ieee</vt:lpwstr>
  </property>
  <property fmtid="{D5CDD505-2E9C-101B-9397-08002B2CF9AE}" pid="18" name="Mendeley Recent Style Name 6_1">
    <vt:lpwstr>IEEE Reference Guide version 11.29.2023</vt:lpwstr>
  </property>
  <property fmtid="{D5CDD505-2E9C-101B-9397-08002B2CF9AE}" pid="19" name="Mendeley Recent Style Id 7_1">
    <vt:lpwstr>http://www.zotero.org/styles/modern-language-association</vt:lpwstr>
  </property>
  <property fmtid="{D5CDD505-2E9C-101B-9397-08002B2CF9AE}" pid="20" name="Mendeley Recent Style Name 7_1">
    <vt:lpwstr>MLA Handbook 9th edition (in-text citations)</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